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3"/>
        <w:contextualSpacing/>
        <w:ind w:left="5669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№ 9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contextualSpacing/>
        <w:ind w:left="5669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государственной программе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Новосибирской области «Стимулирование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развития жилищного строительства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Новосибирской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spacing w:line="283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783"/>
        <w:spacing w:line="283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783"/>
        <w:spacing w:line="283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783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Методика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83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распределения иных межбюджетных трансфертов и правила их предоставления местным бюджетам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на расходы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, связанные со строительством специализированного жилищного фонда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на территории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83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83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I. Общие положения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783"/>
        <w:ind w:firstLine="709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Настоящая Методика распределения иных межбюджетных трансфертов и правила их предоставления местным бюджетам на расходы, связанные со строительством специализированного жилищного фонда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регламентирует  предоставление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иных межбюджетных транс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фертов за счет средств областного бюджета Новосибирской области бюджетам муниципальных районов, муниципальных и городских округов Новосибирской области (далее – муниципальных образований) на оплату и (или) компенсацию расходов, связанных со строительством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специализированного жилищного фонда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на территории Новосибирской области,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(далее - строительство специализированного жилищного фонда для предоставления отдельным категориям граждан, Иной межбюджетный трансферт)</w:t>
      </w:r>
      <w:r>
        <w:rPr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II. Целевое назначение иного межбюджетного трансферта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783"/>
        <w:ind w:firstLine="709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Иной межбюджетный трансферт предоставляется в целях финансирования расходов муниципальных образований, связанных со строительством специализированного жилищного фонда для предоставления: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4"/>
        <w:ind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отдельным категориям граждан, подлежащим обеспечению служебным жильем в рамках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направления расходов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Строительство (приобретение на первичном рынке) служебного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жилья»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комплекса процессных мероприятий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«Содействие созданию специализированного жилищного фонда на территории Новосибирской области»;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4"/>
        <w:ind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указанны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статье 8 Федерального закона от 21.12.1996 года № 159-ФЗ «О дополнительных гарантиях по социальной поддержке детей-сирот и детей, оставшихся без попечения родителей»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4"/>
        <w:ind w:left="0" w:right="0" w:firstLine="708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3. По настоящей Методике финансируются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следующие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 расходы, связанные со строительством специализированного жилищного фонда: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64"/>
        <w:ind w:left="0" w:righ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разработк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проектной документации, корректировк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проектной документации,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экспертиз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проектной документации.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инженерно-геодезические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инженерно-геологические, инженерно-экологические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изыскания;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4"/>
        <w:ind w:left="0" w:right="0" w:firstLine="708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авторский надзор, технологическое присоединение к инженерным сетям, строительный контроль, затраты на ввод объекта в эксплуатацию (технический план бюро технической инвентаризации, замеры санитарно-эпидемиологической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службы), благоустройство по контрактам,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заключенным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2023 году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4. Иной межбюджетный трансферт предоставляется в пределах бюджетных ассигнований, предусмотренных законом</w:t>
        <w:br/>
        <w:t xml:space="preserve">об областном бюджете Новосибирс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кой области на текущий финансовый год и плановый период министерству строительства Новосибирской области  как главному распорядителю средств областного бюджета, </w:t>
        <w:br/>
        <w:t xml:space="preserve">и доведенных до него как получателя средств областного бюджета лимитов бюджетных обязательств.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III. Порядок предоставления, распределения и условия расходования  иного межбюджетного трансферта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5. Основанием для предоставления Иного межбюджетного трансферта  является соглашение, заключаемое между Министерством и муниципальным образованием, в соответствии с типовой формой, утвержденной приказом министерства финансов 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налоговой политики Новосибирской области от 30.12.2021 № 116-НПА «Об утверждении типовых форм соглашений о предоставлении из областного бюджета Новосибирской области бюджету муниципального образования Новосибирской области иного межбюджетного трансферта».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азмер ассигнований областного бюджета определяется как 10% от объема ассигнований, предусмотренных муниципальному образованию на строительство специализированного жилищного фонда для предоставления отдельным категориям граждан 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 Дополнительно предусматриваются средства на оплату по муниципальным контрактам,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разработк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проектной документации, корректировк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проектной документации,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государственн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экспертиз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проектной документации.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инженерно-геодезические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инженерно-геологические, инженерно-экологические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изыскания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авторский надзор, технологическое присоединение к инженерным сетям, строительный контроль, затраты на ввод объекта в эксплуатацию (технический план бюро технической инвентаризации, замеры санитарно-эпидемиологической службы), благоустройство,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заключенным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2023 году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8. Иной межбюджетный трансферт пред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оставляется на лицевой счет муниципального образования, указанный в соглашении, на основании заявки муниципального образования с приложением документов, подтверждающих соблюдение условий предоставления Иного межбюджетного трансферта.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9. Иной межбюджетный трансферт предоставляется на следующих условиях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64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осуществление расходов на основании догово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ров, контрактов, заключенных в соответствии с Федеральным законом от  05.04.2013 № 44-ФЗ «О контрактной системе в сфере закупок товаров, работ, услуг для обеспечения государственных и муниципальных нужд», при условии централизации закупок товаров, работ, 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слуг с начальной (максимальной) ценой контракта, превышающей 500000,0 рублей (кроме муниципального образования города Новосибирска), финансовое обеспечение которых частично или полностью осуществляется за счет межбюджетных трансфертов, главным распорядител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ем бюджетных средств по которым является министерство строительства Новосибирской области, в соответствии с постановлением Правительства Новосибирской области от 10.01.2015 № 12-п «О наделении полномочиями министерства строительства Новосибирской области»;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 наличие заключенных муниципальных контрактов (договоров) на работы (услуги), связанные со строительством специализированного жилищного фонда для предоставления отдельным категориям граждан;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 наличие справки (акта) о выполненных объемах работ (услуг),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счетов на оплату аванса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муниципальным контрактам на экспертизу проектно-сметной документации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по расходам, связанн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ым со строительством специализированного жилищного фонда для предоставления отдельным категориям граждан.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10. Средства Иного межбюджетного трансферта могут предоставляться на компенсацию расходов местных бюджетов, связанных со строительством специализированного жилищного фонда, на основании подтвержденных расходов местного бюджета на основании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муниципальных контрактов (договоров) на работы (услуги)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Компенсируются расходы, произведенные в текущем финансовом году, и в году, предшествующем году финансирования, если данные расходы связаны со строительством объекта, планируемого в текущем или следующем году.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11. Условия расходования Иного межбюджетного трансферта: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 расходование Иного межбюджетного трансферта осуществляется на финансирование работ (услуг), связанных со строительством специализированного жилищного фонда для предоставления отдельным категориям граждан,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 финансирование производится на основании заключенных муниципальным образованием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муниципальных контрактов (договоров) на работы (услуги)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 по муниципальным контрактам на экспертизу проектно-сметной документации возможна оплата аванса в размере, установленном договором (контрактом).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IV. Результаты использования иного межбюджетного трансферта и порядок оценки эффективности его использования 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783"/>
        <w:ind w:firstLine="709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12. Результатом расходования Иного межбюджетного трансферта является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количество разработанных проектов строительства домов специализированного жилищного фонда, получивших положительное заключение государственного бюджетного учреждения Новосибирской области «Государственная вневедомственная экспертиза Новосибирской области».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 Оценка эффективности использования Иного межбюджетного трансферта  осуществляется  Министерством на основе отчета о расходовании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иного межбюджетного трансферта, представляемого муниципальным образованием в сроки, установленные в Соглашении.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 Критерием оценки эффективности использования Иного межбюджетного трансферта является достижение показателя, установленного в Соглашении.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V. Основания и порядок применения (освобождения) мер ответственности за нарушение условий соглашения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15. Министерство и органы государственного финансового контроля Новосибирской области осуществляют проверку соблюдения условий, целей и порядка предоставления Иного межбюджетного трансфера муниципальным образованиям.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16. Остаток Иного межбюджетного трансфера, неиспользованный муниципальным образованием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17. В случае нецелевого испо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льзования Иного межбюджетного трансфера к муниципальному образованию 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18. Муниципальные образования несут ответственность за недостижение показателя в соответствии с Соглашением.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19. Муниципальные образования освобождаются от применения мер ответственности за нарушение условий Соглашения: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расторжение муниципального 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онтракта на проектирование   жилых домов в связи с неисполнением или нарушениями исполнения муниципального контракта подрядной организацией при условии отсутствия действий или бездействия администрации, которые привели к невозможности исполнения контракта.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отсутствие заявок по результатам проведенных торгов на проектирование жилых домов, если в результате невозможно осуществить работы по проектированию в нормативные сроки.</w:t>
      </w:r>
      <w:bookmarkStart w:id="0" w:name="_GoBack"/>
      <w:r>
        <w:rPr>
          <w:sz w:val="28"/>
          <w:szCs w:val="28"/>
          <w:highlight w:val="non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83"/>
        <w:ind w:firstLine="709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7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0">
    <w:name w:val="Hyperlink"/>
    <w:uiPriority w:val="99"/>
    <w:unhideWhenUsed/>
    <w:rPr>
      <w:color w:val="0000ff" w:themeColor="hyperlink"/>
      <w:u w:val="single"/>
    </w:rPr>
  </w:style>
  <w:style w:type="character" w:styleId="781">
    <w:name w:val="footnote reference"/>
    <w:basedOn w:val="810"/>
    <w:uiPriority w:val="99"/>
    <w:unhideWhenUsed/>
    <w:rPr>
      <w:vertAlign w:val="superscript"/>
    </w:rPr>
  </w:style>
  <w:style w:type="character" w:styleId="782">
    <w:name w:val="endnote reference"/>
    <w:basedOn w:val="810"/>
    <w:uiPriority w:val="99"/>
    <w:semiHidden/>
    <w:unhideWhenUsed/>
    <w:rPr>
      <w:vertAlign w:val="superscript"/>
    </w:rPr>
  </w:style>
  <w:style w:type="paragraph" w:styleId="783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84">
    <w:name w:val="Heading 1"/>
    <w:basedOn w:val="7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5">
    <w:name w:val="Heading 2"/>
    <w:basedOn w:val="7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6">
    <w:name w:val="Heading 3"/>
    <w:basedOn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7">
    <w:name w:val="Heading 4"/>
    <w:basedOn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8">
    <w:name w:val="Heading 5"/>
    <w:basedOn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9">
    <w:name w:val="Heading 6"/>
    <w:basedOn w:val="7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90">
    <w:name w:val="Heading 7"/>
    <w:basedOn w:val="7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91">
    <w:name w:val="Heading 8"/>
    <w:basedOn w:val="7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92">
    <w:name w:val="Heading 9"/>
    <w:basedOn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>
    <w:name w:val="Heading 1 Char"/>
    <w:basedOn w:val="810"/>
    <w:uiPriority w:val="9"/>
    <w:qFormat/>
    <w:rPr>
      <w:rFonts w:ascii="Arial" w:hAnsi="Arial" w:eastAsia="Arial" w:cs="Arial"/>
      <w:sz w:val="40"/>
      <w:szCs w:val="40"/>
    </w:rPr>
  </w:style>
  <w:style w:type="character" w:styleId="794">
    <w:name w:val="Heading 2 Char"/>
    <w:basedOn w:val="810"/>
    <w:uiPriority w:val="9"/>
    <w:qFormat/>
    <w:rPr>
      <w:rFonts w:ascii="Arial" w:hAnsi="Arial" w:eastAsia="Arial" w:cs="Arial"/>
      <w:sz w:val="34"/>
    </w:rPr>
  </w:style>
  <w:style w:type="character" w:styleId="795">
    <w:name w:val="Heading 3 Char"/>
    <w:basedOn w:val="810"/>
    <w:uiPriority w:val="9"/>
    <w:qFormat/>
    <w:rPr>
      <w:rFonts w:ascii="Arial" w:hAnsi="Arial" w:eastAsia="Arial" w:cs="Arial"/>
      <w:sz w:val="30"/>
      <w:szCs w:val="30"/>
    </w:rPr>
  </w:style>
  <w:style w:type="character" w:styleId="796">
    <w:name w:val="Heading 4 Char"/>
    <w:basedOn w:val="81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7">
    <w:name w:val="Heading 5 Char"/>
    <w:basedOn w:val="81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8">
    <w:name w:val="Heading 6 Char"/>
    <w:basedOn w:val="81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9">
    <w:name w:val="Heading 7 Char"/>
    <w:basedOn w:val="81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8 Char"/>
    <w:basedOn w:val="81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1">
    <w:name w:val="Heading 9 Char"/>
    <w:basedOn w:val="81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2">
    <w:name w:val="Title Char"/>
    <w:basedOn w:val="810"/>
    <w:uiPriority w:val="10"/>
    <w:qFormat/>
    <w:rPr>
      <w:sz w:val="48"/>
      <w:szCs w:val="48"/>
    </w:rPr>
  </w:style>
  <w:style w:type="character" w:styleId="803">
    <w:name w:val="Subtitle Char"/>
    <w:basedOn w:val="810"/>
    <w:uiPriority w:val="11"/>
    <w:qFormat/>
    <w:rPr>
      <w:sz w:val="24"/>
      <w:szCs w:val="24"/>
    </w:rPr>
  </w:style>
  <w:style w:type="character" w:styleId="804">
    <w:name w:val="Quote Char"/>
    <w:uiPriority w:val="29"/>
    <w:qFormat/>
    <w:rPr>
      <w:i/>
    </w:rPr>
  </w:style>
  <w:style w:type="character" w:styleId="805">
    <w:name w:val="Intense Quote Char"/>
    <w:uiPriority w:val="30"/>
    <w:qFormat/>
    <w:rPr>
      <w:i/>
    </w:rPr>
  </w:style>
  <w:style w:type="character" w:styleId="806">
    <w:name w:val="Header Char"/>
    <w:basedOn w:val="810"/>
    <w:uiPriority w:val="99"/>
    <w:qFormat/>
  </w:style>
  <w:style w:type="character" w:styleId="807">
    <w:name w:val="Caption Char"/>
    <w:uiPriority w:val="99"/>
    <w:qFormat/>
  </w:style>
  <w:style w:type="character" w:styleId="808">
    <w:name w:val="Footnote Text Char"/>
    <w:uiPriority w:val="99"/>
    <w:qFormat/>
    <w:rPr>
      <w:sz w:val="18"/>
    </w:rPr>
  </w:style>
  <w:style w:type="character" w:styleId="809">
    <w:name w:val="Endnote Text Char"/>
    <w:uiPriority w:val="99"/>
    <w:qFormat/>
    <w:rPr>
      <w:sz w:val="20"/>
    </w:rPr>
  </w:style>
  <w:style w:type="character" w:styleId="810" w:default="1">
    <w:name w:val="Default Paragraph Font"/>
    <w:uiPriority w:val="1"/>
    <w:semiHidden/>
    <w:unhideWhenUsed/>
    <w:qFormat/>
  </w:style>
  <w:style w:type="character" w:styleId="81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81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81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81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0" w:customStyle="1">
    <w:name w:val="Заголовок Знак"/>
    <w:uiPriority w:val="10"/>
    <w:qFormat/>
    <w:rPr>
      <w:sz w:val="48"/>
      <w:szCs w:val="48"/>
    </w:rPr>
  </w:style>
  <w:style w:type="character" w:styleId="821" w:customStyle="1">
    <w:name w:val="Подзаголовок Знак"/>
    <w:uiPriority w:val="11"/>
    <w:qFormat/>
    <w:rPr>
      <w:sz w:val="24"/>
      <w:szCs w:val="24"/>
    </w:rPr>
  </w:style>
  <w:style w:type="character" w:styleId="822" w:customStyle="1">
    <w:name w:val="Цитата 2 Знак"/>
    <w:uiPriority w:val="29"/>
    <w:qFormat/>
    <w:rPr>
      <w:i/>
    </w:rPr>
  </w:style>
  <w:style w:type="character" w:styleId="823" w:customStyle="1">
    <w:name w:val="Выделенная цитата Знак"/>
    <w:uiPriority w:val="30"/>
    <w:qFormat/>
    <w:rPr>
      <w:i/>
    </w:rPr>
  </w:style>
  <w:style w:type="character" w:styleId="824" w:customStyle="1">
    <w:name w:val="Верхний колонтитул Знак"/>
    <w:uiPriority w:val="99"/>
    <w:qFormat/>
  </w:style>
  <w:style w:type="character" w:styleId="825" w:customStyle="1">
    <w:name w:val="Footer Char"/>
    <w:uiPriority w:val="99"/>
    <w:qFormat/>
  </w:style>
  <w:style w:type="character" w:styleId="826" w:customStyle="1">
    <w:name w:val="Нижний колонтитул Знак"/>
    <w:uiPriority w:val="99"/>
    <w:qFormat/>
  </w:style>
  <w:style w:type="character" w:styleId="827">
    <w:name w:val="Интернет-ссылка"/>
    <w:uiPriority w:val="99"/>
    <w:unhideWhenUsed/>
    <w:rPr>
      <w:color w:val="0563c1" w:themeColor="hyperlink"/>
      <w:u w:val="single"/>
    </w:rPr>
  </w:style>
  <w:style w:type="character" w:styleId="828" w:customStyle="1">
    <w:name w:val="Текст сноски Знак"/>
    <w:uiPriority w:val="99"/>
    <w:qFormat/>
    <w:rPr>
      <w:sz w:val="18"/>
    </w:rPr>
  </w:style>
  <w:style w:type="character" w:styleId="829">
    <w:name w:val="Привязка сноски"/>
    <w:rPr>
      <w:vertAlign w:val="superscript"/>
    </w:rPr>
  </w:style>
  <w:style w:type="character" w:styleId="830">
    <w:name w:val="Footnote Characters"/>
    <w:uiPriority w:val="99"/>
    <w:unhideWhenUsed/>
    <w:qFormat/>
    <w:rPr>
      <w:vertAlign w:val="superscript"/>
    </w:rPr>
  </w:style>
  <w:style w:type="character" w:styleId="831" w:customStyle="1">
    <w:name w:val="Текст концевой сноски Знак"/>
    <w:uiPriority w:val="99"/>
    <w:qFormat/>
    <w:rPr>
      <w:sz w:val="20"/>
    </w:rPr>
  </w:style>
  <w:style w:type="character" w:styleId="832">
    <w:name w:val="Привязка концевой сноски"/>
    <w:rPr>
      <w:vertAlign w:val="superscript"/>
    </w:rPr>
  </w:style>
  <w:style w:type="character" w:styleId="833">
    <w:name w:val="Endnote Characters"/>
    <w:uiPriority w:val="99"/>
    <w:semiHidden/>
    <w:unhideWhenUsed/>
    <w:qFormat/>
    <w:rPr>
      <w:vertAlign w:val="superscript"/>
    </w:rPr>
  </w:style>
  <w:style w:type="character" w:styleId="834" w:customStyle="1">
    <w:name w:val="Текст примечания Знак"/>
    <w:basedOn w:val="810"/>
    <w:uiPriority w:val="99"/>
    <w:semiHidden/>
    <w:qFormat/>
    <w:rPr>
      <w:sz w:val="20"/>
      <w:szCs w:val="20"/>
    </w:rPr>
  </w:style>
  <w:style w:type="character" w:styleId="835">
    <w:name w:val="annotation reference"/>
    <w:basedOn w:val="810"/>
    <w:uiPriority w:val="99"/>
    <w:semiHidden/>
    <w:unhideWhenUsed/>
    <w:qFormat/>
    <w:rPr>
      <w:sz w:val="16"/>
      <w:szCs w:val="16"/>
    </w:rPr>
  </w:style>
  <w:style w:type="character" w:styleId="836" w:customStyle="1">
    <w:name w:val="Текст выноски Знак"/>
    <w:basedOn w:val="810"/>
    <w:uiPriority w:val="99"/>
    <w:semiHidden/>
    <w:qFormat/>
    <w:rPr>
      <w:rFonts w:ascii="Segoe UI" w:hAnsi="Segoe UI" w:cs="Segoe UI"/>
      <w:sz w:val="18"/>
      <w:szCs w:val="18"/>
    </w:rPr>
  </w:style>
  <w:style w:type="paragraph" w:styleId="837">
    <w:name w:val="Заголовок"/>
    <w:basedOn w:val="783"/>
    <w:next w:val="838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38">
    <w:name w:val="Body Text"/>
    <w:basedOn w:val="783"/>
    <w:pPr>
      <w:spacing w:before="0" w:after="140" w:line="276" w:lineRule="auto"/>
    </w:pPr>
  </w:style>
  <w:style w:type="paragraph" w:styleId="839">
    <w:name w:val="List"/>
    <w:basedOn w:val="838"/>
    <w:rPr>
      <w:rFonts w:cs="Droid Sans Devanagari"/>
    </w:rPr>
  </w:style>
  <w:style w:type="paragraph" w:styleId="840">
    <w:name w:val="Caption"/>
    <w:basedOn w:val="78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841">
    <w:name w:val="Указатель"/>
    <w:basedOn w:val="783"/>
    <w:qFormat/>
    <w:pPr>
      <w:suppressLineNumbers/>
    </w:pPr>
    <w:rPr>
      <w:rFonts w:cs="Droid Sans Devanagari"/>
    </w:rPr>
  </w:style>
  <w:style w:type="paragraph" w:styleId="842">
    <w:name w:val="Title"/>
    <w:basedOn w:val="78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3">
    <w:name w:val="Subtitle"/>
    <w:basedOn w:val="783"/>
    <w:uiPriority w:val="11"/>
    <w:qFormat/>
    <w:pPr>
      <w:spacing w:before="200" w:after="200"/>
    </w:pPr>
    <w:rPr>
      <w:sz w:val="24"/>
      <w:szCs w:val="24"/>
    </w:rPr>
  </w:style>
  <w:style w:type="paragraph" w:styleId="844">
    <w:name w:val="Quote"/>
    <w:basedOn w:val="783"/>
    <w:uiPriority w:val="29"/>
    <w:qFormat/>
    <w:pPr>
      <w:ind w:left="720" w:right="720" w:firstLine="0"/>
    </w:pPr>
    <w:rPr>
      <w:i/>
    </w:rPr>
  </w:style>
  <w:style w:type="paragraph" w:styleId="845">
    <w:name w:val="Intense Quote"/>
    <w:basedOn w:val="783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46">
    <w:name w:val="Верхний и нижний колонтитулы"/>
    <w:basedOn w:val="783"/>
    <w:qFormat/>
  </w:style>
  <w:style w:type="paragraph" w:styleId="847">
    <w:name w:val="Header"/>
    <w:basedOn w:val="78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48">
    <w:name w:val="Footer"/>
    <w:basedOn w:val="78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49">
    <w:name w:val="footnote text"/>
    <w:basedOn w:val="78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0">
    <w:name w:val="endnote text"/>
    <w:basedOn w:val="78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1">
    <w:name w:val="toc 1"/>
    <w:basedOn w:val="783"/>
    <w:uiPriority w:val="39"/>
    <w:unhideWhenUsed/>
    <w:pPr>
      <w:spacing w:before="0" w:after="57"/>
    </w:pPr>
  </w:style>
  <w:style w:type="paragraph" w:styleId="852">
    <w:name w:val="toc 2"/>
    <w:basedOn w:val="783"/>
    <w:uiPriority w:val="39"/>
    <w:unhideWhenUsed/>
    <w:pPr>
      <w:ind w:left="283" w:firstLine="0"/>
      <w:spacing w:before="0" w:after="57"/>
    </w:pPr>
  </w:style>
  <w:style w:type="paragraph" w:styleId="853">
    <w:name w:val="toc 3"/>
    <w:basedOn w:val="783"/>
    <w:uiPriority w:val="39"/>
    <w:unhideWhenUsed/>
    <w:pPr>
      <w:ind w:left="567" w:firstLine="0"/>
      <w:spacing w:before="0" w:after="57"/>
    </w:pPr>
  </w:style>
  <w:style w:type="paragraph" w:styleId="854">
    <w:name w:val="toc 4"/>
    <w:basedOn w:val="783"/>
    <w:uiPriority w:val="39"/>
    <w:unhideWhenUsed/>
    <w:pPr>
      <w:ind w:left="850" w:firstLine="0"/>
      <w:spacing w:before="0" w:after="57"/>
    </w:pPr>
  </w:style>
  <w:style w:type="paragraph" w:styleId="855">
    <w:name w:val="toc 5"/>
    <w:basedOn w:val="783"/>
    <w:uiPriority w:val="39"/>
    <w:unhideWhenUsed/>
    <w:pPr>
      <w:ind w:left="1134" w:firstLine="0"/>
      <w:spacing w:before="0" w:after="57"/>
    </w:pPr>
  </w:style>
  <w:style w:type="paragraph" w:styleId="856">
    <w:name w:val="toc 6"/>
    <w:basedOn w:val="783"/>
    <w:uiPriority w:val="39"/>
    <w:unhideWhenUsed/>
    <w:pPr>
      <w:ind w:left="1417" w:firstLine="0"/>
      <w:spacing w:before="0" w:after="57"/>
    </w:pPr>
  </w:style>
  <w:style w:type="paragraph" w:styleId="857">
    <w:name w:val="toc 7"/>
    <w:basedOn w:val="783"/>
    <w:uiPriority w:val="39"/>
    <w:unhideWhenUsed/>
    <w:pPr>
      <w:ind w:left="1701" w:firstLine="0"/>
      <w:spacing w:before="0" w:after="57"/>
    </w:pPr>
  </w:style>
  <w:style w:type="paragraph" w:styleId="858">
    <w:name w:val="toc 8"/>
    <w:basedOn w:val="783"/>
    <w:uiPriority w:val="39"/>
    <w:unhideWhenUsed/>
    <w:pPr>
      <w:ind w:left="1984" w:firstLine="0"/>
      <w:spacing w:before="0" w:after="57"/>
    </w:pPr>
  </w:style>
  <w:style w:type="paragraph" w:styleId="859">
    <w:name w:val="toc 9"/>
    <w:basedOn w:val="783"/>
    <w:uiPriority w:val="39"/>
    <w:unhideWhenUsed/>
    <w:pPr>
      <w:ind w:left="2268" w:firstLine="0"/>
      <w:spacing w:before="0" w:after="57"/>
    </w:pPr>
  </w:style>
  <w:style w:type="paragraph" w:styleId="860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61">
    <w:name w:val="table of figures"/>
    <w:basedOn w:val="783"/>
    <w:uiPriority w:val="99"/>
    <w:unhideWhenUsed/>
    <w:qFormat/>
    <w:pPr>
      <w:spacing w:before="0" w:after="0"/>
    </w:pPr>
  </w:style>
  <w:style w:type="paragraph" w:styleId="862">
    <w:name w:val="No Spacing"/>
    <w:basedOn w:val="783"/>
    <w:uiPriority w:val="1"/>
    <w:qFormat/>
    <w:pPr>
      <w:spacing w:before="0" w:after="0" w:line="240" w:lineRule="auto"/>
    </w:pPr>
  </w:style>
  <w:style w:type="paragraph" w:styleId="863">
    <w:name w:val="List Paragraph"/>
    <w:basedOn w:val="783"/>
    <w:uiPriority w:val="34"/>
    <w:qFormat/>
    <w:pPr>
      <w:contextualSpacing/>
      <w:ind w:left="720" w:firstLine="0"/>
      <w:spacing w:before="0" w:after="200"/>
    </w:pPr>
  </w:style>
  <w:style w:type="paragraph" w:styleId="864" w:customStyle="1">
    <w:name w:val="ConsPlusNormal"/>
    <w:qFormat/>
    <w:pPr>
      <w:jc w:val="left"/>
      <w:spacing w:before="0" w:beforeAutospacing="0" w:after="0" w:afterAutospacing="0" w:line="240" w:lineRule="auto"/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ru-RU" w:bidi="ar-SA"/>
    </w:rPr>
  </w:style>
  <w:style w:type="paragraph" w:styleId="865" w:customStyle="1">
    <w:name w:val="ConsPlusTitle"/>
    <w:qFormat/>
    <w:pPr>
      <w:jc w:val="left"/>
      <w:spacing w:before="0" w:beforeAutospacing="0" w:after="0" w:afterAutospacing="0" w:line="240" w:lineRule="auto"/>
      <w:widowControl w:val="off"/>
    </w:pPr>
    <w:rPr>
      <w:rFonts w:ascii="Arial" w:hAnsi="Arial" w:eastAsia="Times New Roman" w:cs="Arial" w:asciiTheme="minorHAnsi" w:hAnsiTheme="minorHAnsi" w:cstheme="minorBidi"/>
      <w:b/>
      <w:color w:val="auto"/>
      <w:sz w:val="20"/>
      <w:szCs w:val="20"/>
      <w:lang w:val="ru-RU" w:eastAsia="ru-RU" w:bidi="ar-SA"/>
    </w:rPr>
  </w:style>
  <w:style w:type="paragraph" w:styleId="866">
    <w:name w:val="annotation text"/>
    <w:basedOn w:val="783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867">
    <w:name w:val="Balloon Text"/>
    <w:basedOn w:val="783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numbering" w:styleId="868" w:default="1">
    <w:name w:val="No List"/>
    <w:uiPriority w:val="99"/>
    <w:semiHidden/>
    <w:unhideWhenUsed/>
    <w:qFormat/>
  </w:style>
  <w:style w:type="table" w:styleId="8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Горбенко Светлана Павловна</dc:creator>
  <dc:description/>
  <dc:language>ru-RU</dc:language>
  <cp:revision>12</cp:revision>
  <dcterms:created xsi:type="dcterms:W3CDTF">2024-05-08T03:40:00Z</dcterms:created>
  <dcterms:modified xsi:type="dcterms:W3CDTF">2024-05-22T00:51:22Z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