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5669" w:right="0" w:firstLine="0"/>
        <w:jc w:val="center"/>
        <w:spacing w:after="0" w:afterAutospacing="0" w:line="240" w:lineRule="auto"/>
        <w:shd w:val="nil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5669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государственной программе Новосибирской области «Стимулирование развития жилищного строительства 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Методика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распределения иных межбюджетных трансфертов и правила их предоставления местным бюджетам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р</w:t>
      </w: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8"/>
          <w:szCs w:val="28"/>
          <w:highlight w:val="none"/>
        </w:rPr>
        <w:t xml:space="preserve">еализацию новых инвестиционных проектов за счет средств областного бюджета, высвобождаемых на условиях реструктуризированной задолженности по бюджетным кредитам</w:t>
      </w: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Методика распределения иных межбюджетных трансфертов и правила их предоставления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местным бюджетам на реализацию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  <w:t xml:space="preserve">новых инвестиционных проектов за счет средств областного бюджета, высвобождаемых на условиях реструктуризированной задолженности по бюджетным кредитам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- Методика) устанавлива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ет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предоставления и правила распределения иных межбюджетных трансфертов бюджетам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образований Новосибирской обл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- местные бюджеты) в целях финансирования расходных обязательств муниципальных районов, муниципальных и городских округов Новосибирской области на выполнение инженерных изысканий, разработку проектной, сметной и рабочей документации (в том числе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корректировку) на объекты инженерной, энергетической и коммунальной инфраструктуры площадок комплексного жилищного строительства (далее - объекты инфраструктуры), оплату государственной экспертизы проектной документации, оплату проверки достоверности опред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ления сметной стоимости объектов инфраструктуры, оплату по договорам подключения (технологического присоединения) таких объектов к действующим объектам инфраструктуры, выполнение работ, связанных со строительством (реконструкцией) объектов инфраструктуры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рамках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реализации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проекта «Инфраструктурное обеспечение территорий для жилищного строительства»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государственной программы Новосибирской области «Стимулирование развития жилищного строительства в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Главным распорядителем бюджетных средств является министерство строительства Новосибирской области (далее - министерство).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Условиями предоставления иных межбюджетных трансфертов из областного бюджета Новосибирской области местным бюджетам на цели, указанные в пункте 1 настоящей Методики, являются: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наличие правовых актов муниципальных районов, муниципальных и городских округов Новосибирской области,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нормативными правовыми актами, регулирующими бюджетные правоотношения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(в случае если указанные расходные обязательства финансируются за счет средств иных межбюджетных трансфертов и предусматривают предоставление из местных бюджетов межбюджетных трансферт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бюджетам городских и сельских поселений Новосибирской области),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дий юридическим лицам);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наличие в местном бюджете неиспользованного остатка иного межбюджетного трансферта, предоставленного ранее на аналогичные цели, в размере не более 5% от общего объема иного межбюджетного трансферта, запланированного к предоставлению в соответствующем фин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ансовом году;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централизация закупок товаров, работ, услуг с начальной (максимальной) ценой контракта, превышающей 500000,0 рубля (кроме муниципального образования города Новосибирска), финансовое обеспечение которых частично или полностью осуществляется за счет межбюд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жетных трансфертов, в соответствии с постановлением Правительства Новосибирской области от 19.01.2015 № 12-п «О наделении полномочиями министерства строительства Новосибирской области».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Для предоставления иных межбюджетных трансфертов из областного бюджета Новосибирской области местным бюджетам на цели, указанные в пункте 1 настоящей Методики, в министерство предоставляется заявление за подписью главы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(муниципального или городского округа)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приложением: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пояснительной записки, содержащей описание проекта жилищного строительства, объема и сроков ввода жилья в эксплуатацию;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ояснительной записки, содержащей описание состава мероприятий по развитию инженерной инфраструктуры, обоснование необходимости мероприятий для реализации проекта жилищного строительства, расчетной стоимости проектирования и строительства, согласованной с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инистерством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титульных списков вновь начинаемых и переходящих объектов капитального строительства, утвержденных заказчиком (в случае, если осуществляется строительство, реконструкция объектов инфраструктуры);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выполнении инженерных изысканий, разработки проектной, сметной и рабочей документации (в том числе корректировки) объектов инфраструктуры, оплаты государственной экспертизы проектной документации, оплаты проверки достоверности определения сметной стоимо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сти объектов инфраструктуры, строительства (реконструкции) объектов инфраструктуры, оплаты подключения (технологического присоединения) таких объектов к действующим объектам инфраструктуры - предварительный расчет стоимости таких работ.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и приложения к нему должны быть прошиты, подписаны главой муниципального образования и заверены печатью.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Порядок распределения иных межбюджетных трансфертов местным бюджетам: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иные межбюджетные трансферты на цели, указанные в пункте 1 настоящей Методики, предоставляются бюджетам муниципальных районов, муниципальных и городских округов Новосибирской области, на территории которых расположены проекты жилищного строительства, вкл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юченные: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риказом Министерства экономического развития Российской Федерации в сводный перечень новых инвестиционных проектов в соответствии с постановлением Правительства Российской Федерации от 19.10.2020 № 1704 «Об утверждении Правил определения новых инвестиционн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 объектов капитального строительства к сетям инженерно-технического обеспечения» (далее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постановление Правительства Российской Федерации от 19.10.2020 № 1704);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риказом Министерства строительства и жилищно-коммунального хозяйства Российской Федерации в перечень инфраструктурных проектов в соответствии с постановлением Правительства Российской Федерации от 14.07.2021 № 1189 «Об утверждении Правил отбора инфраструкт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ий в Положение о Правительственной комиссии по региональному развитию в Российской Федерации»;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утвержденных министерством.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Перечисление иных межбюджетных трансфертов местным бюджетам осуществляется на основании заключенных соглашений, предусматривающих обязательства муниципального района (муниципального, городского округа) Новосибирской области по исполнению расходных обязат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льств, в целях финансирования которых предоставляются иные межбюджетные трансферты,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вой политики Новосибирской области от 30.12.2021 № 116-НПА «Об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трансферта»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Соглашение).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В целях закупки товаров и услуг на цели, указанные в пункте 1 настоящей Методики,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описание объекта закупки подлежит согласованию с министерством жилищно-коммунального хозяйства и энергетики Новосибирской области.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Условия расходования иных межбюджетных трансфертов: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иные межбюджетные трансферты направляются исключительно на цели, указанные в пункте 1 настоящей Методики;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при выполнении работ по строительству объектов инфраструктуры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при подключении (технологическом присоединении) к сетям электро-, тепло-, водоснабжения и водоотведения - договор о подключении (технологическом присоединении) к сетям электро-, тепло-, водоснабжения и водоотведения (далее - договор о подключении). Догов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 о подключении, заключенный между муниципальным образованием Новосибирской области, застройщиком и ресурсоснабжающей организацией, может предусматривать условие частичной оплаты подключения (технологического присоединения) муниципальным образованием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 в объеме, установленном областным бюджетом Новосибирской области;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осуществление строительного контроля за ходом строительства: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случае, если источником финансового обеспечения расходов на объекты инфраструктуры являются бюджетные кредиты из федерального бюджета - федеральное бюджетное учреждение «Федеральный центр строительного контроля»;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иных случаях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соответствии с Градостроительным кодексом Российской Федерации при сопровождении государственного казенного учреждения Новосибирской области «Проектная дирекция Министерства жилищно-коммунального хозяйства и энергетики Новосибирской области» на основа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нии заключенного соглашения о взаимодействии;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осуществление расходов производится с лицевых счетов администраций муниципальных районов, муниципальных и городских округов Новосибирской области или с лицевых счетов муниципальных казенных учреждений (получателей бюджетных средств), уполномоченных орган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 местного самоуправления муниципальных районов, муниципальных и городских округов Новосибирской области, открытых в Управлении Федерального казначейства по Новосибирской области на основании договоров, контрактов, заключенных в соответствии с Федеральным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законом от 05.04.2013 № 44-ФЗ «О контрактной системе в сфере закупок товаров, работ, услуг для обеспечения государственных и муниципальных нужд», актов выполненных работ, договоров подключения (технологического присоединения) к объектам инфраструктуры, сче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ов-фактур, с учетом авансовых платежей в размере, определенном действующим законодательством, а также в соответствии с заключенным соглашением между органами местного самоуправления муниципальных районов, муниципальных и городских округов Новосибирской обл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асти и юридическими лицами согласно статьи 78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Получатели в порядке и сроки, установленные в соглашении, представляют в министерство отчет о выполненных объемах работ в соответствии с формами, определенными соглашением, заключенным между Министерством экономического развития Российской Федерации и 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истерством экономического развития Новосибирской области, в случае реализации проектов в рамках постановления Правительства Российской Федерации от 19.10.2020 № 1704, а также соглашением, заключенным между Министерством строительства и жилищно-коммунальног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хозяйства Российской Федерации и Правительством Новосибирской области, в случае реализации проектов в рамках постановления Правительства Российской Федерации от 14.07.2021 № 1190 «Об утверждении Правил предоставления, использования и возврата субъектами 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оссийской Федерации бюджетных кредитов, полученных из федерального бюджета на финансовое обеспечение реализации инфраструктурных проектов».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0. 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ьством Российской Федерации.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 Остаток бюджетных средств, не использованный получателями в текущем финансовом году,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В случае нецелевого использования иных межбюджетных трансфертов к муниципальному району (муниципальному, городскому округу) Новосибирской области применяются бюджетные меры принуждения в порядке, предусмотренном бюджетным законодательством Российской Фе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дерации и нормативными правовыми актами, регулирующими бюджетные правоотношения.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 Порядок оценки эффективности использования иных межбюджетных трансфертов: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трансфертов, предоставляемого получателем в сроки, установленные в Соглаше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езультат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направляется министерством в министерство экономического развития Новосибирской област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Результатом использования иных межбюджетных трансфертов является ввод в эксплуатацию объектов инфраструктуры, и (или) заключение договора подключения (технологического присоединения) к объектам инфраструктуры.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Значение показателя результата использования иных межбюджетных трансфертов, указанного в настоящем пункте, устанавливается в Соглашении.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В случае нецелевого использования иных межбюджетных трансфертов, недостижения муниципальными районами (муниципальными, городскими округами) Новосибирской области показателей результатов использования иных межбюджетных трансфертов, иной межбюджетный тран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сферт подлежит возврату в областной бюджет Новосибирской области в соответствии с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 выявлении указанных обстоятельств министерство в течение десяти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тов, подлежащих возврату, реквизитов министерства и кодов бюджетной классификации иных межбюджетных трансфертов.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t xml:space="preserve">_________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rPr>
        <w:rFonts w:ascii="Times New Roman" w:hAnsi="Times New Roman" w:eastAsia="Times New Roman" w:cs="Times New Roman"/>
        <w:sz w:val="20"/>
        <w:szCs w:val="20"/>
      </w:rPr>
    </w: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9"/>
    <w:next w:val="869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9"/>
    <w:next w:val="869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9"/>
    <w:next w:val="869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9"/>
    <w:next w:val="8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9"/>
    <w:next w:val="869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9"/>
    <w:next w:val="869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9"/>
    <w:next w:val="869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9"/>
    <w:next w:val="869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9"/>
    <w:next w:val="86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9"/>
    <w:next w:val="86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basedOn w:val="869"/>
    <w:next w:val="869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basedOn w:val="869"/>
    <w:next w:val="869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9"/>
    <w:next w:val="869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9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basedOn w:val="869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No Spacing"/>
    <w:basedOn w:val="869"/>
    <w:uiPriority w:val="1"/>
    <w:qFormat/>
    <w:pPr>
      <w:spacing w:after="0" w:line="240" w:lineRule="auto"/>
    </w:pPr>
  </w:style>
  <w:style w:type="paragraph" w:styleId="873">
    <w:name w:val="List Paragraph"/>
    <w:basedOn w:val="869"/>
    <w:uiPriority w:val="34"/>
    <w:qFormat/>
    <w:pPr>
      <w:contextualSpacing/>
      <w:ind w:left="720"/>
    </w:pPr>
  </w:style>
  <w:style w:type="character" w:styleId="874" w:default="1">
    <w:name w:val="Default Paragraph Font"/>
    <w:uiPriority w:val="1"/>
    <w:semiHidden/>
    <w:unhideWhenUsed/>
  </w:style>
  <w:style w:type="paragraph" w:styleId="87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2024-05-20T08:26:48Z</dcterms:modified>
</cp:coreProperties>
</file>