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5669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37"/>
        <w:ind w:left="5669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  <w:t xml:space="preserve">Порядок</w:t>
      </w:r>
      <w:r>
        <w:rPr>
          <w:rFonts w:ascii="TimesNewRoman" w:hAnsi="TimesNewRoman" w:eastAsia="TimesNewRoman" w:cs="TimesNewRoman"/>
          <w:b/>
          <w:bCs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  <w:t xml:space="preserve">предоставления и распределения субсидий </w:t>
      </w:r>
      <w:r>
        <w:rPr>
          <w:rFonts w:ascii="TimesNewRoman" w:hAnsi="TimesNewRoman" w:eastAsia="TimesNewRoman" w:cs="TimesNewRoman"/>
          <w:b/>
          <w:bCs/>
          <w:i w:val="0"/>
          <w:strike w:val="0"/>
          <w:color w:val="auto"/>
          <w:sz w:val="28"/>
          <w:szCs w:val="28"/>
          <w:highlight w:val="none"/>
          <w14:ligatures w14:val="none"/>
        </w:rPr>
      </w:r>
      <w:r/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  <w:t xml:space="preserve">из областного бюджета местным бюджетам на реализацию </w:t>
      </w:r>
      <w:r>
        <w:rPr>
          <w:rFonts w:ascii="TimesNewRoman" w:hAnsi="TimesNewRoman" w:eastAsia="TimesNewRoman" w:cs="TimesNewRoman"/>
          <w:b/>
          <w:i w:val="0"/>
          <w:strike w:val="0"/>
          <w:color w:val="auto"/>
          <w:sz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i w:val="0"/>
          <w:strike w:val="0"/>
          <w:color w:val="auto"/>
          <w:sz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color w:val="auto"/>
          <w:sz w:val="28"/>
          <w:szCs w:val="28"/>
          <w:highlight w:val="none"/>
        </w:rPr>
        <w:t xml:space="preserve">регионального проекта «Жилье»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1. Настоящий порядок предоставления и распределения субсидий из областного бюджетам местным бюджетам на реализацию регионального проекта «Жилье»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регламентирует предоставление и расходование субсидий местными бюджетами муниципальных образований Новосибирской области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в рамках государственной программы «Стимулирование развития жилищного строительства в Новосибирской области»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2. Целью предоставления субсидии является строительство и реконструкция объектов коммунальной и транспортной инфраструктуры.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3. 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Субсидия предоставляется в пределах бюджетных ассигнований и лимитов бюджетных обязательств, установленных ми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ни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стерству жилищно-коммунального хозяйства и энергетики Новосибирской области (далее –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ГРБС) в соотв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4. 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Субсидии предоставляются в целях софинансирования строительства объектов капитального строительства транспортной инфраструктуры, объектов в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одоснабжения, водоотведения и теплоснабжения, в том числе магистральных сетей, в целях реализации проектов по развитию территорий, определенных по итогам проведения конкурсного отбора на участие в федеральном проекте «Жилье» государственной программы Росси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1710 (далее -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Программа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).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5. 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Предоставление субсидий местным бюджетам осуществля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ет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ГРБС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 бюджетных средств на основании заключенного соглашения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 предоставлении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субсидии из областного бюджета местному бюджету (далее - Соглашение), соответствующего требованиям подпункта л (1) пункта 10 Правил формирования, предоставления и распределения субсидий из федерального бюджета бюджетам субъектов Российской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Федерации, утвержденных постановлением Правительства Российской Федерации от 30.09.2014 № 999 «О формировании, предоставлении и распределении субсидий из федерального бюджета бюджетам субъектов Российской Федерации» и постановления Правительства Новосибирс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кой области от 03.03.2020 № 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Соглашение заключается в форме электронного документа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в государственной интегрированной информационной системе управления общественными финансами «Электронный бюджет» в срок не позднее 30 календарных дней со дня вступления в силу Соглашения о предоставлении субсидии из федерального бюджета областному бюджету.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6. 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я субсидия,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7. 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Соглашение должно содержать условие о согласовании проекта муниципального контракта в части сроков в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ыполнения работ по строительству, реконструкции объектов централизованных систем водоотведения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8. Условия предоставления субсидии: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1) 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2)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заключение на срок, соответствующий сроку распределения субсидий между местными бюджетами, Соглашений о предоставлен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обязательств;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3) представление получателями ГРБС следующих документов в сроки, установленные в Соглашении о предоставлении субсидии: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а) заявок на предоставление субсидии;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б) копий муниципальных контрактов (договоров), заключе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нных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направленных на достижение цели, установленной пунктом 2 настоящего Порядка;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в) копий документов, подтверждающих выполнение условий долевого софинансирования расходов за счет средств местного бюджета;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г) копий документов, подтверждающих наличие выпо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лненных работ (унифицированных форм № КС-3 «Справка о стоимости выполненных работ и затрат», № КС-2 «Акт о приемке выполненных работ», утвержденных постановлением Государственного комитета Российской Федерации по статистике от 11.11.1999 № 100, актов прием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а-передачи, актов выполненных работ, актов приемки услуг, счетов-фактур, товарно-транспортных накладных, унифицированной формы № ТОРГ-12 «Товарная накладная», утвержденной постановлением Государственного комитета Российской Федерации по статистике от 25.12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.1998 № 132)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4) централизация закупок товаров, работ, услуг, финансовое обеспечение которых частично или полностью осуществляется за счет субсидий в соответствии с пунктом 1 поста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новления Правительства Новосибирской области от 30.12.2013 № 597-п «О наделении полномочиями 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 рублей;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5) отсутствие неиспользованного остатка субсидий, предоставленных ранее на аналогичные цели, в объеме, не превышающем 5 %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6) включение в соглашения о предоставлении субси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7) 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авляются субсидии, установлен в местном бюджете ниже уровней, предусмотренных настоящим Порядком,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9. 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10. Основанием для отказа в предоставлении субсидии являются: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1) непредставление (представление не в полном объеме либо с нарушением сроков) документов, указанных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в подпункте 3 пункта 8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настоящего Порядка;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2) неисполнение условий предоставления субсидий, предусмотренных подпунктами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 1, 2, 4, 5, 6 пункта 8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11. 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В случае нарушени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я получателем условий предоставления субсидий, установленных пунктом 9 настоящего Порядка,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color w:val="auto"/>
          <w:sz w:val="28"/>
          <w:szCs w:val="28"/>
          <w:highlight w:val="none"/>
        </w:rPr>
        <w:t xml:space="preserve">12. 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Предоставление администрацией муниципального образования заявки, указанной в абзаце первом настоящего пункта,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осуществляется при условии наличия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отсутствия.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13. Условия расходования субсидии: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1) 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законодательством;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2) 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на цель, определенную пунктом 2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Результатом использования субсидии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является достижение показателя (результата), установленного в Соглашении на текущий финансовый год и плановый период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15. Оценка эффективности использования субсидии осуществляется ГРБС на основе отчета о достижении показателя (результата) использования субсидии, представляемого получателем в сроки, установленные в Cоглашении.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Критерием оценки эффективности использования субсидии является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достижение показателя (результата),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установленного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Соглашении.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результата, указанного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в Соглашении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В случае если в отчетном финансовом году получателем не достигнуто установленное Cогла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шением значение показателя (результата) использования субсидии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, средства субсидии подлежат возврату в областной бюджет в соответствии с Правилами формирования, предоставления и распределения субсидий из Федерального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бюджета бюджетам субъектов Российской Федерации, утвержденными постановлением Правительства Российской Федерации от 30.09.2014 № 999 «О формировании, предоставлении и распределении субсидий из Федерального бюджета бюджетам субъектов Российской Федерации».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4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17. 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18. 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19. 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20. Получатели несут ответственность за недостижение результата использования субсидии в соответствии с Соглашением.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21. </w:t>
      </w:r>
      <w:r>
        <w:rPr>
          <w:rFonts w:ascii="TimesNewRoman" w:hAnsi="TimesNewRoman" w:eastAsia="TimesNewRoman" w:cs="TimesNewRoman"/>
          <w:b w:val="0"/>
          <w:i w:val="0"/>
          <w:color w:val="auto"/>
          <w:sz w:val="28"/>
          <w:highlight w:val="none"/>
        </w:rPr>
        <w:t xml:space="preserve">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  <w:t xml:space="preserve">_________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2024-05-20T08:24:14Z</dcterms:modified>
</cp:coreProperties>
</file>