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73"/>
        <w:ind w:left="5669"/>
        <w:jc w:val="center"/>
        <w:rPr>
          <w:rFonts w:ascii="Times New Roman" w:hAnsi="Times New Roman" w:cs="Times New Roman"/>
          <w:sz w:val="28"/>
          <w:szCs w:val="28"/>
          <w:highlight w:val="none"/>
        </w:rPr>
        <w:outlineLvl w:val="1"/>
      </w:pPr>
      <w:r>
        <w:rPr>
          <w:rFonts w:ascii="Times New Roman" w:hAnsi="Times New Roman" w:cs="Times New Roman"/>
          <w:sz w:val="28"/>
          <w:szCs w:val="28"/>
        </w:rPr>
        <w:t xml:space="preserve">ПРИЛОЖЕНИЕ №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 6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left="566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государственной программе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«Стимулирование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развития жилищного строительства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в Новосибирской области»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5"/>
        <w:ind w:firstLine="709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Порядок предоставления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и распределения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субсидий из областного бюджета Новосибирской области местным бюджетам на финанс</w:t>
      </w:r>
      <w:r>
        <w:rPr>
          <w:rFonts w:ascii="Times New Roman" w:hAnsi="Times New Roman" w:cs="Times New Roman"/>
          <w:bCs/>
          <w:sz w:val="28"/>
          <w:szCs w:val="28"/>
        </w:rPr>
        <w:t xml:space="preserve">ирование расходов по строительству (приобретение на первичном рынке) служебного жилья</w:t>
      </w:r>
      <w:r>
        <w:rPr>
          <w:rFonts w:ascii="Times New Roman" w:hAnsi="Times New Roman" w:cs="Times New Roman"/>
          <w:bCs/>
          <w:sz w:val="28"/>
          <w:szCs w:val="28"/>
        </w:rPr>
      </w:r>
      <w:r>
        <w:rPr>
          <w:rFonts w:ascii="Times New Roman" w:hAnsi="Times New Roman" w:cs="Times New Roman"/>
          <w:bCs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I. Общие положения</w:t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5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. Н</w:t>
      </w:r>
      <w:r>
        <w:rPr>
          <w:rFonts w:ascii="Times New Roman" w:hAnsi="Times New Roman" w:cs="Times New Roman"/>
          <w:sz w:val="28"/>
          <w:szCs w:val="28"/>
        </w:rPr>
        <w:t xml:space="preserve">астоящий </w:t>
      </w:r>
      <w:r>
        <w:rPr>
          <w:rFonts w:ascii="Times New Roman" w:hAnsi="Times New Roman" w:cs="Times New Roman"/>
          <w:sz w:val="28"/>
          <w:szCs w:val="28"/>
        </w:rPr>
        <w:t xml:space="preserve">Порядок предоставления и </w:t>
      </w:r>
      <w:r>
        <w:rPr>
          <w:rFonts w:ascii="Times New Roman" w:hAnsi="Times New Roman" w:cs="Times New Roman"/>
          <w:bCs/>
          <w:sz w:val="28"/>
          <w:szCs w:val="28"/>
        </w:rPr>
        <w:t xml:space="preserve">распределения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субсидий из областного бюджета Новосибирской области местным бюджетам на софинансирование расходов по строительству (приобретение на первичном рынке) служебного жилья</w:t>
      </w:r>
      <w:r>
        <w:rPr>
          <w:rFonts w:ascii="Times New Roman" w:hAnsi="Times New Roman" w:cs="Times New Roman"/>
          <w:sz w:val="28"/>
          <w:szCs w:val="28"/>
        </w:rPr>
        <w:t xml:space="preserve"> регламентирует </w:t>
      </w:r>
      <w:r>
        <w:rPr>
          <w:rFonts w:ascii="Times New Roman" w:hAnsi="Times New Roman" w:cs="Times New Roman"/>
          <w:bCs/>
          <w:sz w:val="28"/>
          <w:szCs w:val="28"/>
        </w:rPr>
        <w:t xml:space="preserve">предоставление</w:t>
      </w:r>
      <w: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 xml:space="preserve">субсидий муниципальным районам, муниципальным и городским округам Новосибирской област</w:t>
      </w:r>
      <w:r>
        <w:rPr>
          <w:rFonts w:ascii="Times New Roman" w:hAnsi="Times New Roman" w:cs="Times New Roman"/>
          <w:bCs/>
          <w:sz w:val="28"/>
          <w:szCs w:val="28"/>
        </w:rPr>
        <w:t xml:space="preserve">и (далее – муниципальные образования) по направлению расходов «Строительство (приобретение на первичном рынке) служебного жилья» комплекса процессных мероприятий «Содействие созданию специализированного жилищного фонда на территории Новосибирской области» </w:t>
      </w:r>
      <w:r>
        <w:rPr>
          <w:rFonts w:ascii="Times New Roman" w:hAnsi="Times New Roman" w:cs="Times New Roman"/>
          <w:sz w:val="28"/>
          <w:szCs w:val="28"/>
        </w:rPr>
        <w:t xml:space="preserve">для строительства (приобретения на первичном </w:t>
      </w:r>
      <w:r>
        <w:rPr>
          <w:rFonts w:ascii="Times New Roman" w:hAnsi="Times New Roman" w:cs="Times New Roman"/>
          <w:sz w:val="28"/>
          <w:szCs w:val="28"/>
        </w:rPr>
        <w:t xml:space="preserve">рынке) жилых помещений (</w:t>
      </w:r>
      <w:r>
        <w:rPr>
          <w:rFonts w:ascii="Times New Roman" w:hAnsi="Times New Roman" w:cs="Times New Roman"/>
          <w:sz w:val="28"/>
          <w:szCs w:val="28"/>
        </w:rPr>
        <w:t xml:space="preserve">далее соответственно -  Порядок, субсидия).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 xml:space="preserve">В целях применения настоящего Порядка под приобретением жилого помещения на первичном рынке понимается приобретение у юридического лица, индивидуального предпринимателя или физического лица (застройщика, инвестора и т.д.):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многоквартирном доме (жилом доме блокированной застройки) до ввода объекта недвижимости в эксплуатацию путем заключения договора участия в д</w:t>
      </w:r>
      <w:r>
        <w:rPr>
          <w:rFonts w:ascii="Times New Roman" w:hAnsi="Times New Roman" w:cs="Times New Roman"/>
          <w:sz w:val="28"/>
          <w:szCs w:val="28"/>
        </w:rPr>
        <w:t xml:space="preserve">олевом строительстве в соответствии с Федеральным законом от 30 декабря 2004 года № 214-ФЗ «Об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</w:t>
      </w:r>
      <w:r>
        <w:rPr>
          <w:rFonts w:ascii="Times New Roman" w:hAnsi="Times New Roman" w:cs="Times New Roman"/>
          <w:sz w:val="28"/>
          <w:szCs w:val="28"/>
        </w:rPr>
        <w:t xml:space="preserve">ия в многоквартирном доме (жилом помещении блокированной застройки) путем заключения с первым собственником жилого помещения, зарегистрировавшим право собственности на жилое помещение после ввода объекта недвижимости в эксплуатацию, договора купли-продажи;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помещения в многоквартирном доме (жилом доме блокированной застройки) до ввода объекта недвижимости в эксплуатацию путем заключения </w:t>
      </w:r>
      <w:r>
        <w:rPr>
          <w:rFonts w:ascii="Times New Roman" w:hAnsi="Times New Roman" w:cs="Times New Roman"/>
          <w:sz w:val="28"/>
          <w:szCs w:val="28"/>
        </w:rPr>
        <w:t xml:space="preserve">договора о приобретении жилого помещения, созданного в будущем;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жилого дома (при индивидуальном жилищном строительстве или для </w:t>
      </w:r>
      <w:r>
        <w:rPr>
          <w:rFonts w:ascii="Times New Roman" w:hAnsi="Times New Roman" w:cs="Times New Roman"/>
          <w:sz w:val="28"/>
          <w:szCs w:val="28"/>
        </w:rPr>
        <w:t xml:space="preserve">жилых домов блокированной застройки) или части жилого дома (для жилых домов блокированной застройки) с земельным участком путем заключения с первым собственником жилого дома после ввода указанных объектов недвижимости в эксплуатацию договора купли-продажи.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/>
      <w:bookmarkStart w:id="0" w:name="_GoBack"/>
      <w:r>
        <w:rPr>
          <w:rFonts w:ascii="Times New Roman" w:hAnsi="Times New Roman" w:cs="Times New Roman"/>
          <w:b/>
          <w:bCs/>
          <w:sz w:val="28"/>
          <w:szCs w:val="28"/>
        </w:rPr>
        <w:t xml:space="preserve">II. Целевое назначение субсидий</w:t>
      </w:r>
      <w:bookmarkEnd w:id="0"/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 xml:space="preserve">Субсидии предоставляются на софинансирование расходов по созданию специализированного жилищного фонда служебных жилых помещений путем стр</w:t>
      </w:r>
      <w:r>
        <w:rPr>
          <w:rFonts w:ascii="Times New Roman" w:hAnsi="Times New Roman" w:cs="Times New Roman"/>
          <w:sz w:val="28"/>
          <w:szCs w:val="28"/>
        </w:rPr>
        <w:t xml:space="preserve">оительства и приобретения на первичном рынке жилых помещений для предоставления по договорам найма специализированного жилищного фонда отдельным категориям граждан, указанным в пункте 7 настоящего Порядка,  </w:t>
      </w:r>
      <w:r>
        <w:rPr>
          <w:rFonts w:ascii="Times New Roman" w:hAnsi="Times New Roman" w:cs="Times New Roman"/>
          <w:sz w:val="28"/>
          <w:szCs w:val="28"/>
        </w:rPr>
        <w:t xml:space="preserve">работающим или привлекаемых для работы на территории муниципальных образований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Реализация мероприятий осуществляется пу</w:t>
      </w:r>
      <w:r>
        <w:rPr>
          <w:rFonts w:ascii="Times New Roman" w:hAnsi="Times New Roman" w:cs="Times New Roman"/>
          <w:sz w:val="28"/>
          <w:szCs w:val="28"/>
        </w:rPr>
        <w:t xml:space="preserve">тем строительства жилых </w:t>
      </w:r>
      <w:r>
        <w:rPr>
          <w:rFonts w:ascii="Times New Roman" w:hAnsi="Times New Roman" w:cs="Times New Roman"/>
          <w:sz w:val="28"/>
          <w:szCs w:val="28"/>
        </w:rPr>
        <w:t xml:space="preserve">домов </w:t>
      </w:r>
      <w:r>
        <w:rPr>
          <w:rFonts w:ascii="Times New Roman" w:hAnsi="Times New Roman" w:cs="Times New Roman"/>
          <w:sz w:val="28"/>
          <w:szCs w:val="28"/>
        </w:rPr>
        <w:t xml:space="preserve">(далее – строительство), а также приобретения жилых помещений на первичном рынке (далее - приобретение жилых помещений).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рамках строительства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жилых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домов</w:t>
      </w:r>
      <w:r>
        <w:rPr>
          <w:rFonts w:ascii="Times New Roman" w:hAnsi="Times New Roman" w:cs="Times New Roman"/>
          <w:sz w:val="28"/>
          <w:szCs w:val="28"/>
        </w:rPr>
        <w:t xml:space="preserve"> субсидия может быть использована для оплаты муниципальных контрактов (договоров), заключенных на строительство, и иных </w:t>
      </w:r>
      <w:r>
        <w:rPr>
          <w:rFonts w:ascii="Times New Roman" w:hAnsi="Times New Roman" w:cs="Times New Roman"/>
          <w:sz w:val="28"/>
          <w:szCs w:val="28"/>
        </w:rPr>
        <w:t xml:space="preserve">муниципальных контрактов (договоров</w:t>
      </w:r>
      <w:r>
        <w:rPr>
          <w:rFonts w:ascii="Times New Roman" w:hAnsi="Times New Roman" w:cs="Times New Roman"/>
          <w:sz w:val="28"/>
          <w:szCs w:val="28"/>
        </w:rPr>
        <w:t xml:space="preserve">), заключенных в соответствии с утвержденным сводным сметным расчетом, за исключением расходов, указанных в пункте 11 настоящего Порядка.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Построенные и приобретенные жилые помещения включаются в муниципальный специализированный жилищный фонд с отнесением к служебным жилым помещениям.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Служебные жилые помещения (далее – служебное жилье)</w:t>
      </w:r>
      <w:r>
        <w:rPr>
          <w:rFonts w:ascii="Times New Roman" w:hAnsi="Times New Roman" w:cs="Times New Roman"/>
          <w:sz w:val="28"/>
          <w:szCs w:val="28"/>
          <w:highlight w:val="yellow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moveToRangeStart w:author="buos" w:date="2024-04-03T02:42:00Z" w:id="0" w:name="move3"/>
      <w:r>
        <w:rPr>
          <w:rFonts w:ascii="Times New Roman" w:hAnsi="Times New Roman" w:cs="Times New Roman"/>
          <w:sz w:val="28"/>
          <w:szCs w:val="28"/>
        </w:rPr>
        <w:t xml:space="preserve">в виде отдельных квартир или жилых домов </w:t>
      </w:r>
      <w:moveToRangeEnd w:id="0"/>
      <w:r>
        <w:rPr>
          <w:rFonts w:ascii="Times New Roman" w:hAnsi="Times New Roman" w:cs="Times New Roman"/>
          <w:sz w:val="28"/>
          <w:szCs w:val="28"/>
        </w:rPr>
        <w:t xml:space="preserve">гражданам, замещающим должности муниципальной службы, работникам муниципальных учреждений, предприятий и организаций и работникам государственных учреждений Новосибирской области, участковым уполномоченным полиции (далее - специалисты). </w:t>
      </w:r>
      <w:moveFromRangeStart w:author="buos" w:date="2024-04-03T02:42:00Z" w:id="1" w:name="move3"/>
      <w:r/>
      <w:moveFromRangeEnd w:id="1"/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8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Построенные и приобретенные жилые помещения, предоставляемые работникам государственных уч</w:t>
      </w:r>
      <w:r>
        <w:rPr>
          <w:rFonts w:ascii="Times New Roman" w:hAnsi="Times New Roman" w:cs="Times New Roman"/>
          <w:sz w:val="28"/>
          <w:szCs w:val="28"/>
        </w:rPr>
        <w:t xml:space="preserve">реждений Новосибирской области, подлежат передаче из муниципальной собственности по договору безвозмездного пользования государственным учреждениям Новосибирской области в целях последующей их передачи в государственную собственность Новосибирской области.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  <w:r>
        <w:rPr>
          <w:rFonts w:ascii="Times New Roman" w:hAnsi="Times New Roman" w:cs="Times New Roman"/>
          <w:b/>
          <w:bCs/>
          <w:sz w:val="28"/>
          <w:szCs w:val="28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III. П</w:t>
      </w:r>
      <w:hyperlink r:id="rId10" w:tooltip="https://login.consultant.ru/link/?req=doc&amp;base=RLAW049&amp;n=171825&amp;dst=121217" w:history="1">
        <w:r>
          <w:rPr>
            <w:rFonts w:ascii="Times New Roman" w:hAnsi="Times New Roman" w:cs="Times New Roman"/>
            <w:b/>
            <w:color w:val="000000" w:themeColor="text1"/>
            <w:sz w:val="28"/>
            <w:szCs w:val="28"/>
          </w:rPr>
          <w:t xml:space="preserve">орядок </w:t>
        </w:r>
        <w:r>
          <w:rPr>
            <w:rFonts w:ascii="Times New Roman" w:hAnsi="Times New Roman" w:cs="Times New Roman"/>
            <w:b/>
            <w:bCs/>
            <w:color w:val="000000" w:themeColor="text1"/>
            <w:sz w:val="28"/>
            <w:szCs w:val="28"/>
          </w:rPr>
          <w:t xml:space="preserve">предоставления, распределения и условия расходования субсидий</w:t>
        </w:r>
      </w:hyperlink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trike/>
          <w:sz w:val="28"/>
          <w:szCs w:val="28"/>
        </w:rPr>
      </w:pP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  <w:r>
        <w:rPr>
          <w:rFonts w:ascii="Times New Roman" w:hAnsi="Times New Roman" w:cs="Times New Roman"/>
          <w:strike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</w:t>
      </w:r>
      <w:r>
        <w:rPr>
          <w:rFonts w:ascii="Times New Roman" w:hAnsi="Times New Roman" w:cs="Times New Roman"/>
          <w:sz w:val="28"/>
          <w:szCs w:val="28"/>
        </w:rPr>
        <w:t xml:space="preserve">Субсидия предоставляется и расходуется на следующих условиях: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на срок, соответствующий сроку распределения субсидий между местными бюджетами, соглашений о предоставлении субсидий, предусматривающих обязательства муниципального образования по исполнению расходных обязательств,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</w:t>
      </w:r>
      <w:r>
        <w:rPr>
          <w:rFonts w:ascii="Times New Roman" w:hAnsi="Times New Roman" w:cs="Times New Roman"/>
          <w:sz w:val="28"/>
          <w:szCs w:val="28"/>
        </w:rPr>
        <w:t xml:space="preserve">субсидии, и ответственность за неисполнение предусмотренных указанными соглашениями обязательств, в соответствии с типовой формой, утвержденной приказом министерства финансов и налоговой политики Новосибирской области от 09.01.2020 N 1-НПА;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осуществление расходов на основании догово</w:t>
      </w:r>
      <w:r>
        <w:rPr>
          <w:rFonts w:ascii="Times New Roman" w:hAnsi="Times New Roman" w:cs="Times New Roman"/>
          <w:sz w:val="28"/>
          <w:szCs w:val="28"/>
        </w:rPr>
        <w:t xml:space="preserve">ров, контрактов, заключенных в соответствии с Федеральным законом от  05.04.2013 № 44-ФЗ «О контрактной системе в сфере закупок товаров, работ, услуг для обеспечения государственных и муниципальных нужд», при условии централизации закупок товаров, работ, у</w:t>
      </w:r>
      <w:r>
        <w:rPr>
          <w:rFonts w:ascii="Times New Roman" w:hAnsi="Times New Roman" w:cs="Times New Roman"/>
          <w:sz w:val="28"/>
          <w:szCs w:val="28"/>
        </w:rPr>
        <w:t xml:space="preserve">слуг с начальной (максимальной) ценой контракта, превышающей 500000,0 рублей (кроме муниципального образования города Новосибирска), финансовое обеспечение которых частично или полностью осуществляется за счет межбюджетных трансфертов, главным распорядител</w:t>
      </w:r>
      <w:r>
        <w:rPr>
          <w:rFonts w:ascii="Times New Roman" w:hAnsi="Times New Roman" w:cs="Times New Roman"/>
          <w:sz w:val="28"/>
          <w:szCs w:val="28"/>
        </w:rPr>
        <w:t xml:space="preserve">ем бюджетных средств по которым является министерство строительства Новосибирской области, в соответствии с постановлением Правительства Новосибирской области от 10.01.2015 № 12-п «О наделении полномочиями министерства строительства Новосибирской области».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наличие неиспользованного остатка субсидий, предоставленных ранее на аналогичные цели, в объеме, не превышающем 5% от общего объема субсидий, запланированных к предоставлению в соответствующем финансовом году, или его отсутствие;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сокращение объема субсидии, в случае если объем бюджетных ассигнований на исполнение расходных обязательств муниципального образования, в целях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которых предоставляются субсид</w:t>
      </w:r>
      <w:r>
        <w:rPr>
          <w:rFonts w:ascii="Times New Roman" w:hAnsi="Times New Roman" w:cs="Times New Roman"/>
          <w:sz w:val="28"/>
          <w:szCs w:val="28"/>
        </w:rPr>
        <w:t xml:space="preserve">ии, установлен в местном бюджете ниже уровней, предусмотренных порядками предоставления субсидий, пропорционально снижению соответствующего уровня финансирования исполнения расходных обязательств муниципального образования за счет средств местного бюджета.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утвержденной проектно-сметной документации на реализуе</w:t>
      </w:r>
      <w:r>
        <w:rPr>
          <w:rFonts w:ascii="Times New Roman" w:hAnsi="Times New Roman" w:cs="Times New Roman"/>
          <w:sz w:val="28"/>
          <w:szCs w:val="28"/>
        </w:rPr>
        <w:t xml:space="preserve">мый проект по строительству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служебного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жилья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имеющей положительное экспертное заключение государственной экспертизы проектной документации и результатов инженерных изысканий, включая проверку достоверности определения сметной стоимости, при строительстве.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муниципального контракта на строительство (на строительный контроль и авторский надзор) или приобретение жилых помещений, планируемых в качестве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служебного жилья;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обеспечение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из бюджета муниципального образования в размере не менее 5% от стоимости строящегося или приобретаемого жилого помещения,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с 2025 года в соответствии с распоряжением Правительства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О предельных уровнях </w:t>
      </w:r>
      <w:r>
        <w:rPr>
          <w:rFonts w:ascii="Times New Roman" w:hAnsi="Times New Roman" w:cs="Times New Roman"/>
          <w:sz w:val="28"/>
          <w:szCs w:val="28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</w:rPr>
        <w:t xml:space="preserve"> Новосибирской области объемов расходных обязательств муниципальных образований на плановый год и плановый период; 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акта о приемке выполненных работ при строительстве;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выписки из ЕГРН и акта приема-передачи жилого помещения при приобретении жилых помещений.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10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Финансирование работ по подведению внеплощадочных сетей инжене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рной инфраструктуры при строительстве осуществляется администрациями муниципальных образований за счет средств местного бюджета и (или) внебюджетных источников, в том числе оплата по договорам технологического присоединения к сетям инженерного обеспечения.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>
        <w:rPr>
          <w:rFonts w:ascii="Times New Roman" w:hAnsi="Times New Roman" w:cs="Times New Roman"/>
          <w:sz w:val="28"/>
          <w:szCs w:val="28"/>
          <w:highlight w:val="non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аспределение субсидии на строительство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приобретение служебного жилья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осуществляется на основании результатов отбора заявок муниципальных образований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ганизатором отбора муниципальных образований Новосибирской области является министерство.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12.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Министерство при отборе муниципальных образований для строительства служебного жилья руководствуется процедурой и сроками, определенными Порядком рассмотрения заявок муниципальных образований на осуществление стр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оительства жилых помещений для детей-сирот и детей, оставшихся без попечения родителей, установленном приказом министерства строительства Новосибирской области от 30.04.2021 № 275.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Администрации муниципальных образований подают заявки на очередной финансовый год и на плановый период отдельно на каждый год и каждый планируемый к строительству объект.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Заявки администраций муниципальных образований на приобретение на первичном рынке служебного жилья рассматриваются одновременно с заявками на строительство служебного жилья.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5.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 результатам рассмотрения сведений и документов, поступивших от муниципальных образований, министерство до 1 августа года, предшествующего планируемому, утверждает перечень муниципальных образований, соответствующих критериям отбора, приведенным в пункте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настоящего Порядка.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16.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Каждый участник отбора должен быть проинформирован в письменной форме о результатах отбора в течение пяти рабочих дней со дня утверждения протокола.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17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Дополнительные заявки и (или) изменения в заявки на строите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льство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служебного жилья с приложением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документов, установленных приказом министерства строительства Новосибирской области от 30.04.20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 № 275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дополнительные заявки и (или) изменения в заявки на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приобретение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служебного жиль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рассматриваются в течение одного месяца с даты представления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, 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включаются в перечень муниципальных образований, соответствующих критериям отбора, на текущий год в случае соответствия критериям и в пределах планируемых объемов ассигнований областного бюджета.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Критерии отбора муниципальных образований для предоставления субсидий: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на территории муниципального образования потребности в служебном жилье для отдельных категорий граждан, проживающих и работающих на территории Новосибирской области;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на территории муниципального образования земельных участков для строительства, обеспеченных инженерной инфраструктурой, либо имеющих возможность подключения, в случае строительства;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наличие на территории муниципального образования жилых помещений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на первичном рынке жилья, соответствующих условиям по площади и стоимости, в случае приобретения жилья.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Приоритетность при отборе для предоставления субсидии на строительство</w:t>
      </w:r>
      <w:r>
        <w:rPr>
          <w:highlight w:val="whit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приобретение служебного жилья имеют муниципальные образования, включенные в Перечень приграничных муниципальных образований, при модернизации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социально-экономической сферы которых оказывается приоритетная государственная поддержка Стратегии пространственного развития Российской Федерации на период до 2025 года, утвержденной распоряжением Правительства Российской Федерации от 13.02.2019 № 207-р.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ассигнований на строительство и при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обретение служебного жилья (далее - ассигнования) определяется исходя из стоимости 1 кв. м общей площади жилья, установленной приказом министерства строительства Новосибирской области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б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установлении стоимости одного квадратного метра общей площади жилого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помещения по муниципальным образованиям Новосибирской области (далее – Приказ) на соответствующий год, количества специалистов, подлежащих обеспечению служебными жилыми помещениями в соответствующем году и расчетной площади служебного жилого помещения. 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21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Размер субсидии на строительство и приобретение служебного жилья за счет средств областного бюджета Новосибирской области рассчитывается с учетом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из бюджета муниципального образования в размере не менее 5% от стоимости строящегося или приобретаемого жилого помещения, с 2025 года в соответствии с распоряжением Правительства Новосибирской области О предельных уровнях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софинансирования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Новосибирской области объемов расходных обязательств муниципальных образований на плановый год и плановый период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(далее – распоряжение  Правительства Новосибирской области)</w:t>
      </w:r>
      <w:r>
        <w:rPr>
          <w:highlight w:val="white"/>
        </w:rPr>
        <w:t xml:space="preserve">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22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Расчетная стоимость жилого помещения определяется исходя из расчетной площади жилого помещения 45 квадратных метров и стоимости 1 кв. м общей площади жилья, установленной Приказом.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плановый период расчетная стоимость строительства складывается из суммы расчетной площади жилых помещений по стоимости 1 кв. м общей площад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 жилья, установленной Приказом на соответствующий год, и увеличенной на индекс-дефлятор Министерства экономического развития Российской Федерации «Инвестиции в основной капитал капитальные вложения», установленный на соответствующий год планового периода.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24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приобретения жилого помещения общей площа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дью менее расчетной стоимости,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стоимость одного квадратного метра не может превышать расчетную. В случае приобретения жилого помещения общей площадью более расчетной стоимости, стоимость приобретения жилого помещения не может превышать расчетную стоимость.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25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случае наступл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ения в процессе строительства жилого объекта обстоятельств, предусмотренных статьей 95 Федерального закона от 05.04.2013 № 44-ФЗ «О контрактной системе в сфере закупок товаров, работ, услуг для обеспечения государственных и муниципальных нужд», влекущих не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обходимость увеличения бюджетных ассигнований, размер стоимости одного квадратного метра общей площади жилого помещения для такого объекта увеличивается пропорционально стоимости объема дополнительных работ, но не более чем на 10% процентов цены контракта.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IV. Результаты использования субсидий и порядок оценки эффективности использования средств субсидий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26.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Результат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использования субсидии является количество жилых помещений, построенных и (или) приобретенных для предоставления специалистам, работающим или приглашенным для работы на территорию соответствующего муниципального образования, в качестве служебного жилья.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27.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Оценка эффективности использования субсидий осуществляется                                      по показателям достижения результатов использования субсидий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на основании данных отчетности о расходовании субсидии, представляемой                         администрациями муниципальных образований в министерство: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разрешения на ввод в эксплуатацию на объект строительства, содержащее служебные жилые помещения;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выписки из Единого государственного реестра недвижимости на построенное или приобретенное на первичном рынке жилое помещение;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решения о включении в муниципальный специализированный фонд построенного (приобретенного на первичном рынке) жилья и отнесения его к виду служебного жилого помещения;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копии договоров найма служебных жилых помещений, заключенных с гражданами.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V. Основания и порядок применения (освобождения) мер ответственности за нарушение условий соглашения</w:t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b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28.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Министерство осуществляет контроль за использованием субсидий администрациями муниципальных образований на основании представленных ими отчетов в рамках заключенных соглашений.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29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. В дополнение к основаниям для освобождения муниципальных образований от применения мер ответственности, установленным подпунктами 1-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4 пункта 23 Правил формирования, предоставления и распределения субсидий из областного бюджета Новосибирской области бюджетам муниципальных образований Новосибирской области, утвержденных постановлением Правительства Новосибирской области от 03.0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3.2020 № 40-п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являются следующие документально подтвержденные обстоятельства, повлекшие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недостижение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результатов использования субсидий: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 расторжение муниципального контракта на проектир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ование и (или) строительство жилых домов в связи с неисполнением или нарушениями исполнения муниципального контракта подрядной организацией при условии отсутствия действий или бездействия администрации, которые привели к невозможности исполнения контракта.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отсутствие заявок по результатам проведенных торгов на проектирование и (или) строительство жилых домов, если в результате невозможно осуществить работы по проектированию и (или) строительству в нормативные сроки.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3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p>
      <w:pPr>
        <w:pStyle w:val="873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  <w:highlight w:val="white"/>
        </w:rPr>
      </w:pPr>
      <w:r>
        <w:rPr>
          <w:rFonts w:ascii="Times New Roman" w:hAnsi="Times New Roman" w:cs="Times New Roman"/>
          <w:b/>
          <w:sz w:val="28"/>
          <w:szCs w:val="28"/>
          <w:highlight w:val="white"/>
        </w:rPr>
        <w:t xml:space="preserve">_______</w:t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  <w:r>
        <w:rPr>
          <w:rFonts w:ascii="Times New Roman" w:hAnsi="Times New Roman" w:cs="Times New Roman"/>
          <w:b/>
          <w:bCs/>
          <w:sz w:val="28"/>
          <w:szCs w:val="28"/>
          <w:highlight w:val="white"/>
        </w:rPr>
      </w:r>
    </w:p>
    <w:sectPr>
      <w:footerReference w:type="default" r:id="rId8"/>
      <w:footerReference w:type="first" r:id="rId9"/>
      <w:footnotePr/>
      <w:endnotePr/>
      <w:type w:val="nextPage"/>
      <w:pgSz w:w="11906" w:h="16838" w:orient="portrait"/>
      <w:pgMar w:top="992" w:right="567" w:bottom="964" w:left="1417" w:header="0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Style w:val="873"/>
      </w:pPr>
      <w:r>
        <w:separator/>
      </w:r>
      <w:r/>
    </w:p>
  </w:endnote>
  <w:endnote w:type="continuationSeparator" w:id="0">
    <w:p>
      <w:pPr>
        <w:pStyle w:val="873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Segoe UI">
    <w:panose1 w:val="020B0502040504020204"/>
  </w:font>
  <w:font w:name="Tahoma">
    <w:panose1 w:val="020B0604030504040204"/>
  </w:font>
  <w:font w:name="Courier New">
    <w:panose1 w:val="020703090202050204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>
      <w:rPr>
        <w:sz w:val="2"/>
        <w:szCs w:val="2"/>
      </w:rPr>
      <w:t xml:space="preserve">1</w:t>
    </w:r>
    <w:r/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73"/>
    </w:pPr>
    <w:r>
      <w:rPr>
        <w:sz w:val="2"/>
        <w:szCs w:val="2"/>
      </w:rPr>
      <w:t xml:space="preserve">1</w: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Style w:val="873"/>
      </w:pPr>
      <w:r>
        <w:separator/>
      </w:r>
      <w:r/>
    </w:p>
  </w:footnote>
  <w:footnote w:type="continuationSeparator" w:id="0">
    <w:p>
      <w:pPr>
        <w:pStyle w:val="873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4" w:default="1">
    <w:name w:val="Normal"/>
    <w:qFormat/>
  </w:style>
  <w:style w:type="paragraph" w:styleId="675">
    <w:name w:val="Heading 1"/>
    <w:basedOn w:val="674"/>
    <w:next w:val="674"/>
    <w:link w:val="70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paragraph" w:styleId="676">
    <w:name w:val="Heading 2"/>
    <w:basedOn w:val="674"/>
    <w:next w:val="674"/>
    <w:link w:val="70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paragraph" w:styleId="677">
    <w:name w:val="Heading 3"/>
    <w:basedOn w:val="674"/>
    <w:next w:val="674"/>
    <w:link w:val="70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paragraph" w:styleId="678">
    <w:name w:val="Heading 4"/>
    <w:basedOn w:val="674"/>
    <w:next w:val="674"/>
    <w:link w:val="70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79">
    <w:name w:val="Heading 5"/>
    <w:basedOn w:val="674"/>
    <w:next w:val="674"/>
    <w:link w:val="70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80">
    <w:name w:val="Heading 6"/>
    <w:basedOn w:val="674"/>
    <w:next w:val="674"/>
    <w:link w:val="70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81">
    <w:name w:val="Heading 7"/>
    <w:basedOn w:val="674"/>
    <w:next w:val="674"/>
    <w:link w:val="71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82">
    <w:name w:val="Heading 8"/>
    <w:basedOn w:val="674"/>
    <w:next w:val="674"/>
    <w:link w:val="71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83">
    <w:name w:val="Heading 9"/>
    <w:basedOn w:val="674"/>
    <w:next w:val="674"/>
    <w:link w:val="71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84" w:default="1">
    <w:name w:val="Default Paragraph Font"/>
    <w:uiPriority w:val="1"/>
    <w:semiHidden/>
    <w:unhideWhenUsed/>
  </w:style>
  <w:style w:type="table" w:styleId="68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86" w:default="1">
    <w:name w:val="No List"/>
    <w:uiPriority w:val="99"/>
    <w:semiHidden/>
    <w:unhideWhenUsed/>
  </w:style>
  <w:style w:type="character" w:styleId="687" w:customStyle="1">
    <w:name w:val="Heading 1 Char"/>
    <w:basedOn w:val="684"/>
    <w:uiPriority w:val="9"/>
    <w:rPr>
      <w:rFonts w:ascii="Arial" w:hAnsi="Arial" w:eastAsia="Arial" w:cs="Arial"/>
      <w:sz w:val="40"/>
      <w:szCs w:val="40"/>
    </w:rPr>
  </w:style>
  <w:style w:type="character" w:styleId="688" w:customStyle="1">
    <w:name w:val="Heading 2 Char"/>
    <w:basedOn w:val="684"/>
    <w:uiPriority w:val="9"/>
    <w:rPr>
      <w:rFonts w:ascii="Arial" w:hAnsi="Arial" w:eastAsia="Arial" w:cs="Arial"/>
      <w:sz w:val="34"/>
    </w:rPr>
  </w:style>
  <w:style w:type="character" w:styleId="689" w:customStyle="1">
    <w:name w:val="Heading 3 Char"/>
    <w:basedOn w:val="684"/>
    <w:uiPriority w:val="9"/>
    <w:rPr>
      <w:rFonts w:ascii="Arial" w:hAnsi="Arial" w:eastAsia="Arial" w:cs="Arial"/>
      <w:sz w:val="30"/>
      <w:szCs w:val="30"/>
    </w:rPr>
  </w:style>
  <w:style w:type="character" w:styleId="690" w:customStyle="1">
    <w:name w:val="Heading 4 Char"/>
    <w:basedOn w:val="684"/>
    <w:uiPriority w:val="9"/>
    <w:rPr>
      <w:rFonts w:ascii="Arial" w:hAnsi="Arial" w:eastAsia="Arial" w:cs="Arial"/>
      <w:b/>
      <w:bCs/>
      <w:sz w:val="26"/>
      <w:szCs w:val="26"/>
    </w:rPr>
  </w:style>
  <w:style w:type="character" w:styleId="691" w:customStyle="1">
    <w:name w:val="Heading 5 Char"/>
    <w:basedOn w:val="684"/>
    <w:uiPriority w:val="9"/>
    <w:rPr>
      <w:rFonts w:ascii="Arial" w:hAnsi="Arial" w:eastAsia="Arial" w:cs="Arial"/>
      <w:b/>
      <w:bCs/>
      <w:sz w:val="24"/>
      <w:szCs w:val="24"/>
    </w:rPr>
  </w:style>
  <w:style w:type="character" w:styleId="692" w:customStyle="1">
    <w:name w:val="Heading 6 Char"/>
    <w:basedOn w:val="684"/>
    <w:uiPriority w:val="9"/>
    <w:rPr>
      <w:rFonts w:ascii="Arial" w:hAnsi="Arial" w:eastAsia="Arial" w:cs="Arial"/>
      <w:b/>
      <w:bCs/>
      <w:sz w:val="22"/>
      <w:szCs w:val="22"/>
    </w:rPr>
  </w:style>
  <w:style w:type="character" w:styleId="693" w:customStyle="1">
    <w:name w:val="Heading 7 Char"/>
    <w:basedOn w:val="68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 w:customStyle="1">
    <w:name w:val="Heading 8 Char"/>
    <w:basedOn w:val="684"/>
    <w:uiPriority w:val="9"/>
    <w:rPr>
      <w:rFonts w:ascii="Arial" w:hAnsi="Arial" w:eastAsia="Arial" w:cs="Arial"/>
      <w:i/>
      <w:iCs/>
      <w:sz w:val="22"/>
      <w:szCs w:val="22"/>
    </w:rPr>
  </w:style>
  <w:style w:type="character" w:styleId="695" w:customStyle="1">
    <w:name w:val="Heading 9 Char"/>
    <w:basedOn w:val="684"/>
    <w:uiPriority w:val="9"/>
    <w:rPr>
      <w:rFonts w:ascii="Arial" w:hAnsi="Arial" w:eastAsia="Arial" w:cs="Arial"/>
      <w:i/>
      <w:iCs/>
      <w:sz w:val="21"/>
      <w:szCs w:val="21"/>
    </w:rPr>
  </w:style>
  <w:style w:type="character" w:styleId="696" w:customStyle="1">
    <w:name w:val="Title Char"/>
    <w:basedOn w:val="684"/>
    <w:uiPriority w:val="10"/>
    <w:rPr>
      <w:sz w:val="48"/>
      <w:szCs w:val="48"/>
    </w:rPr>
  </w:style>
  <w:style w:type="character" w:styleId="697" w:customStyle="1">
    <w:name w:val="Subtitle Char"/>
    <w:basedOn w:val="684"/>
    <w:uiPriority w:val="11"/>
    <w:rPr>
      <w:sz w:val="24"/>
      <w:szCs w:val="24"/>
    </w:rPr>
  </w:style>
  <w:style w:type="character" w:styleId="698" w:customStyle="1">
    <w:name w:val="Quote Char"/>
    <w:uiPriority w:val="29"/>
    <w:rPr>
      <w:i/>
    </w:rPr>
  </w:style>
  <w:style w:type="character" w:styleId="699" w:customStyle="1">
    <w:name w:val="Intense Quote Char"/>
    <w:uiPriority w:val="30"/>
    <w:rPr>
      <w:i/>
    </w:rPr>
  </w:style>
  <w:style w:type="character" w:styleId="700" w:customStyle="1">
    <w:name w:val="Header Char"/>
    <w:basedOn w:val="684"/>
    <w:uiPriority w:val="99"/>
  </w:style>
  <w:style w:type="character" w:styleId="701" w:customStyle="1">
    <w:name w:val="Caption Char"/>
    <w:uiPriority w:val="99"/>
  </w:style>
  <w:style w:type="character" w:styleId="702" w:customStyle="1">
    <w:name w:val="Footnote Text Char"/>
    <w:uiPriority w:val="99"/>
    <w:rPr>
      <w:sz w:val="18"/>
    </w:rPr>
  </w:style>
  <w:style w:type="character" w:styleId="703" w:customStyle="1">
    <w:name w:val="Endnote Text Char"/>
    <w:uiPriority w:val="99"/>
    <w:rPr>
      <w:sz w:val="20"/>
    </w:rPr>
  </w:style>
  <w:style w:type="character" w:styleId="704" w:customStyle="1">
    <w:name w:val="Заголовок 1 Знак"/>
    <w:link w:val="675"/>
    <w:uiPriority w:val="9"/>
    <w:rPr>
      <w:rFonts w:ascii="Arial" w:hAnsi="Arial" w:eastAsia="Arial" w:cs="Arial"/>
      <w:sz w:val="40"/>
      <w:szCs w:val="40"/>
    </w:rPr>
  </w:style>
  <w:style w:type="character" w:styleId="705" w:customStyle="1">
    <w:name w:val="Заголовок 2 Знак"/>
    <w:link w:val="676"/>
    <w:uiPriority w:val="9"/>
    <w:rPr>
      <w:rFonts w:ascii="Arial" w:hAnsi="Arial" w:eastAsia="Arial" w:cs="Arial"/>
      <w:sz w:val="34"/>
    </w:rPr>
  </w:style>
  <w:style w:type="character" w:styleId="706" w:customStyle="1">
    <w:name w:val="Заголовок 3 Знак"/>
    <w:link w:val="677"/>
    <w:uiPriority w:val="9"/>
    <w:rPr>
      <w:rFonts w:ascii="Arial" w:hAnsi="Arial" w:eastAsia="Arial" w:cs="Arial"/>
      <w:sz w:val="30"/>
      <w:szCs w:val="30"/>
    </w:rPr>
  </w:style>
  <w:style w:type="character" w:styleId="707" w:customStyle="1">
    <w:name w:val="Заголовок 4 Знак"/>
    <w:link w:val="678"/>
    <w:uiPriority w:val="9"/>
    <w:rPr>
      <w:rFonts w:ascii="Arial" w:hAnsi="Arial" w:eastAsia="Arial" w:cs="Arial"/>
      <w:b/>
      <w:bCs/>
      <w:sz w:val="26"/>
      <w:szCs w:val="26"/>
    </w:rPr>
  </w:style>
  <w:style w:type="character" w:styleId="708" w:customStyle="1">
    <w:name w:val="Заголовок 5 Знак"/>
    <w:link w:val="679"/>
    <w:uiPriority w:val="9"/>
    <w:rPr>
      <w:rFonts w:ascii="Arial" w:hAnsi="Arial" w:eastAsia="Arial" w:cs="Arial"/>
      <w:b/>
      <w:bCs/>
      <w:sz w:val="24"/>
      <w:szCs w:val="24"/>
    </w:rPr>
  </w:style>
  <w:style w:type="character" w:styleId="709" w:customStyle="1">
    <w:name w:val="Заголовок 6 Знак"/>
    <w:link w:val="680"/>
    <w:uiPriority w:val="9"/>
    <w:rPr>
      <w:rFonts w:ascii="Arial" w:hAnsi="Arial" w:eastAsia="Arial" w:cs="Arial"/>
      <w:b/>
      <w:bCs/>
      <w:sz w:val="22"/>
      <w:szCs w:val="22"/>
    </w:rPr>
  </w:style>
  <w:style w:type="character" w:styleId="710" w:customStyle="1">
    <w:name w:val="Заголовок 7 Знак"/>
    <w:link w:val="681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1" w:customStyle="1">
    <w:name w:val="Заголовок 8 Знак"/>
    <w:link w:val="682"/>
    <w:uiPriority w:val="9"/>
    <w:rPr>
      <w:rFonts w:ascii="Arial" w:hAnsi="Arial" w:eastAsia="Arial" w:cs="Arial"/>
      <w:i/>
      <w:iCs/>
      <w:sz w:val="22"/>
      <w:szCs w:val="22"/>
    </w:rPr>
  </w:style>
  <w:style w:type="character" w:styleId="712" w:customStyle="1">
    <w:name w:val="Заголовок 9 Знак"/>
    <w:link w:val="683"/>
    <w:uiPriority w:val="9"/>
    <w:rPr>
      <w:rFonts w:ascii="Arial" w:hAnsi="Arial" w:eastAsia="Arial" w:cs="Arial"/>
      <w:i/>
      <w:iCs/>
      <w:sz w:val="21"/>
      <w:szCs w:val="21"/>
    </w:rPr>
  </w:style>
  <w:style w:type="paragraph" w:styleId="713">
    <w:name w:val="List Paragraph"/>
    <w:basedOn w:val="674"/>
    <w:uiPriority w:val="34"/>
    <w:qFormat/>
    <w:pPr>
      <w:contextualSpacing/>
      <w:ind w:left="720"/>
    </w:pPr>
  </w:style>
  <w:style w:type="paragraph" w:styleId="714">
    <w:name w:val="No Spacing"/>
    <w:uiPriority w:val="1"/>
    <w:qFormat/>
  </w:style>
  <w:style w:type="paragraph" w:styleId="715">
    <w:name w:val="Title"/>
    <w:basedOn w:val="674"/>
    <w:next w:val="674"/>
    <w:link w:val="71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16" w:customStyle="1">
    <w:name w:val="Заголовок Знак"/>
    <w:link w:val="715"/>
    <w:uiPriority w:val="10"/>
    <w:rPr>
      <w:sz w:val="48"/>
      <w:szCs w:val="48"/>
    </w:rPr>
  </w:style>
  <w:style w:type="paragraph" w:styleId="717">
    <w:name w:val="Subtitle"/>
    <w:basedOn w:val="674"/>
    <w:next w:val="674"/>
    <w:link w:val="718"/>
    <w:uiPriority w:val="11"/>
    <w:qFormat/>
    <w:pPr>
      <w:spacing w:before="200" w:after="200"/>
    </w:pPr>
    <w:rPr>
      <w:sz w:val="24"/>
      <w:szCs w:val="24"/>
    </w:rPr>
  </w:style>
  <w:style w:type="character" w:styleId="718" w:customStyle="1">
    <w:name w:val="Подзаголовок Знак"/>
    <w:link w:val="717"/>
    <w:uiPriority w:val="11"/>
    <w:rPr>
      <w:sz w:val="24"/>
      <w:szCs w:val="24"/>
    </w:rPr>
  </w:style>
  <w:style w:type="paragraph" w:styleId="719">
    <w:name w:val="Quote"/>
    <w:basedOn w:val="674"/>
    <w:next w:val="674"/>
    <w:link w:val="720"/>
    <w:uiPriority w:val="29"/>
    <w:qFormat/>
    <w:pPr>
      <w:ind w:left="720" w:right="720"/>
    </w:pPr>
    <w:rPr>
      <w:i/>
    </w:rPr>
  </w:style>
  <w:style w:type="character" w:styleId="720" w:customStyle="1">
    <w:name w:val="Цитата 2 Знак"/>
    <w:link w:val="719"/>
    <w:uiPriority w:val="29"/>
    <w:rPr>
      <w:i/>
    </w:rPr>
  </w:style>
  <w:style w:type="paragraph" w:styleId="721">
    <w:name w:val="Intense Quote"/>
    <w:basedOn w:val="674"/>
    <w:next w:val="674"/>
    <w:link w:val="72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2" w:customStyle="1">
    <w:name w:val="Выделенная цитата Знак"/>
    <w:link w:val="721"/>
    <w:uiPriority w:val="30"/>
    <w:rPr>
      <w:i/>
    </w:rPr>
  </w:style>
  <w:style w:type="paragraph" w:styleId="723">
    <w:name w:val="Header"/>
    <w:basedOn w:val="674"/>
    <w:link w:val="724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4" w:customStyle="1">
    <w:name w:val="Верхний колонтитул Знак"/>
    <w:link w:val="723"/>
    <w:uiPriority w:val="99"/>
  </w:style>
  <w:style w:type="paragraph" w:styleId="725">
    <w:name w:val="Footer"/>
    <w:basedOn w:val="674"/>
    <w:link w:val="728"/>
    <w:uiPriority w:val="99"/>
    <w:unhideWhenUsed/>
    <w:pPr>
      <w:tabs>
        <w:tab w:val="center" w:pos="7143" w:leader="none"/>
        <w:tab w:val="right" w:pos="14287" w:leader="none"/>
      </w:tabs>
    </w:pPr>
  </w:style>
  <w:style w:type="character" w:styleId="726" w:customStyle="1">
    <w:name w:val="Footer Char"/>
    <w:uiPriority w:val="99"/>
  </w:style>
  <w:style w:type="paragraph" w:styleId="727">
    <w:name w:val="Caption"/>
    <w:basedOn w:val="674"/>
    <w:next w:val="67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28" w:customStyle="1">
    <w:name w:val="Нижний колонтитул Знак"/>
    <w:link w:val="725"/>
    <w:uiPriority w:val="99"/>
  </w:style>
  <w:style w:type="table" w:styleId="729">
    <w:name w:val="Table Grid"/>
    <w:uiPriority w:val="59"/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2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3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4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6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5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6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6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6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6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64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6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7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7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7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7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7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7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78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79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79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799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20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2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2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2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2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2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2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27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4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5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36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37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38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39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0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1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2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43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44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45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46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47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4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5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5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5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5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5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55">
    <w:name w:val="Hyperlink"/>
    <w:uiPriority w:val="99"/>
    <w:unhideWhenUsed/>
    <w:rPr>
      <w:color w:val="0000ff" w:themeColor="hyperlink"/>
      <w:u w:val="single"/>
    </w:rPr>
  </w:style>
  <w:style w:type="paragraph" w:styleId="856">
    <w:name w:val="footnote text"/>
    <w:basedOn w:val="674"/>
    <w:link w:val="857"/>
    <w:uiPriority w:val="99"/>
    <w:semiHidden/>
    <w:unhideWhenUsed/>
    <w:pPr>
      <w:spacing w:after="40"/>
    </w:pPr>
    <w:rPr>
      <w:sz w:val="18"/>
    </w:rPr>
  </w:style>
  <w:style w:type="character" w:styleId="857" w:customStyle="1">
    <w:name w:val="Текст сноски Знак"/>
    <w:link w:val="856"/>
    <w:uiPriority w:val="99"/>
    <w:rPr>
      <w:sz w:val="18"/>
    </w:rPr>
  </w:style>
  <w:style w:type="character" w:styleId="858">
    <w:name w:val="footnote reference"/>
    <w:uiPriority w:val="99"/>
    <w:unhideWhenUsed/>
    <w:rPr>
      <w:vertAlign w:val="superscript"/>
    </w:rPr>
  </w:style>
  <w:style w:type="paragraph" w:styleId="859">
    <w:name w:val="endnote text"/>
    <w:basedOn w:val="674"/>
    <w:link w:val="860"/>
    <w:uiPriority w:val="99"/>
    <w:semiHidden/>
    <w:unhideWhenUsed/>
  </w:style>
  <w:style w:type="character" w:styleId="860" w:customStyle="1">
    <w:name w:val="Текст концевой сноски Знак"/>
    <w:link w:val="859"/>
    <w:uiPriority w:val="99"/>
    <w:rPr>
      <w:sz w:val="20"/>
    </w:rPr>
  </w:style>
  <w:style w:type="character" w:styleId="861">
    <w:name w:val="endnote reference"/>
    <w:uiPriority w:val="99"/>
    <w:semiHidden/>
    <w:unhideWhenUsed/>
    <w:rPr>
      <w:vertAlign w:val="superscript"/>
    </w:rPr>
  </w:style>
  <w:style w:type="paragraph" w:styleId="862">
    <w:name w:val="toc 1"/>
    <w:basedOn w:val="674"/>
    <w:next w:val="674"/>
    <w:uiPriority w:val="39"/>
    <w:unhideWhenUsed/>
    <w:pPr>
      <w:spacing w:after="57"/>
    </w:pPr>
  </w:style>
  <w:style w:type="paragraph" w:styleId="863">
    <w:name w:val="toc 2"/>
    <w:basedOn w:val="674"/>
    <w:next w:val="674"/>
    <w:uiPriority w:val="39"/>
    <w:unhideWhenUsed/>
    <w:pPr>
      <w:ind w:left="283"/>
      <w:spacing w:after="57"/>
    </w:pPr>
  </w:style>
  <w:style w:type="paragraph" w:styleId="864">
    <w:name w:val="toc 3"/>
    <w:basedOn w:val="674"/>
    <w:next w:val="674"/>
    <w:uiPriority w:val="39"/>
    <w:unhideWhenUsed/>
    <w:pPr>
      <w:ind w:left="567"/>
      <w:spacing w:after="57"/>
    </w:pPr>
  </w:style>
  <w:style w:type="paragraph" w:styleId="865">
    <w:name w:val="toc 4"/>
    <w:basedOn w:val="674"/>
    <w:next w:val="674"/>
    <w:uiPriority w:val="39"/>
    <w:unhideWhenUsed/>
    <w:pPr>
      <w:ind w:left="850"/>
      <w:spacing w:after="57"/>
    </w:pPr>
  </w:style>
  <w:style w:type="paragraph" w:styleId="866">
    <w:name w:val="toc 5"/>
    <w:basedOn w:val="674"/>
    <w:next w:val="674"/>
    <w:uiPriority w:val="39"/>
    <w:unhideWhenUsed/>
    <w:pPr>
      <w:ind w:left="1134"/>
      <w:spacing w:after="57"/>
    </w:pPr>
  </w:style>
  <w:style w:type="paragraph" w:styleId="867">
    <w:name w:val="toc 6"/>
    <w:basedOn w:val="674"/>
    <w:next w:val="674"/>
    <w:uiPriority w:val="39"/>
    <w:unhideWhenUsed/>
    <w:pPr>
      <w:ind w:left="1417"/>
      <w:spacing w:after="57"/>
    </w:pPr>
  </w:style>
  <w:style w:type="paragraph" w:styleId="868">
    <w:name w:val="toc 7"/>
    <w:basedOn w:val="674"/>
    <w:next w:val="674"/>
    <w:uiPriority w:val="39"/>
    <w:unhideWhenUsed/>
    <w:pPr>
      <w:ind w:left="1701"/>
      <w:spacing w:after="57"/>
    </w:pPr>
  </w:style>
  <w:style w:type="paragraph" w:styleId="869">
    <w:name w:val="toc 8"/>
    <w:basedOn w:val="674"/>
    <w:next w:val="674"/>
    <w:uiPriority w:val="39"/>
    <w:unhideWhenUsed/>
    <w:pPr>
      <w:ind w:left="1984"/>
      <w:spacing w:after="57"/>
    </w:pPr>
  </w:style>
  <w:style w:type="paragraph" w:styleId="870">
    <w:name w:val="toc 9"/>
    <w:basedOn w:val="674"/>
    <w:next w:val="674"/>
    <w:uiPriority w:val="39"/>
    <w:unhideWhenUsed/>
    <w:pPr>
      <w:ind w:left="2268"/>
      <w:spacing w:after="57"/>
    </w:pPr>
  </w:style>
  <w:style w:type="paragraph" w:styleId="871">
    <w:name w:val="TOC Heading"/>
    <w:uiPriority w:val="39"/>
    <w:unhideWhenUsed/>
  </w:style>
  <w:style w:type="paragraph" w:styleId="872">
    <w:name w:val="table of figures"/>
    <w:basedOn w:val="674"/>
    <w:next w:val="674"/>
    <w:uiPriority w:val="99"/>
    <w:unhideWhenUsed/>
  </w:style>
  <w:style w:type="paragraph" w:styleId="873" w:customStyle="1">
    <w:name w:val="ConsPlusNormal"/>
    <w:qFormat/>
    <w:pPr>
      <w:widowControl w:val="off"/>
    </w:pPr>
    <w:rPr>
      <w:rFonts w:ascii="Arial" w:hAnsi="Arial" w:cs="Arial"/>
    </w:rPr>
  </w:style>
  <w:style w:type="paragraph" w:styleId="874" w:customStyle="1">
    <w:name w:val="ConsPlusNonformat"/>
    <w:pPr>
      <w:widowControl w:val="off"/>
    </w:pPr>
    <w:rPr>
      <w:rFonts w:ascii="Courier New" w:hAnsi="Courier New" w:cs="Courier New"/>
    </w:rPr>
  </w:style>
  <w:style w:type="paragraph" w:styleId="875" w:customStyle="1">
    <w:name w:val="ConsPlusTitle"/>
    <w:pPr>
      <w:widowControl w:val="off"/>
    </w:pPr>
    <w:rPr>
      <w:rFonts w:ascii="Arial" w:hAnsi="Arial" w:cs="Arial"/>
      <w:b/>
    </w:rPr>
  </w:style>
  <w:style w:type="paragraph" w:styleId="876" w:customStyle="1">
    <w:name w:val="ConsPlusCell"/>
    <w:pPr>
      <w:widowControl w:val="off"/>
    </w:pPr>
    <w:rPr>
      <w:rFonts w:ascii="Courier New" w:hAnsi="Courier New" w:cs="Courier New"/>
    </w:rPr>
  </w:style>
  <w:style w:type="paragraph" w:styleId="877" w:customStyle="1">
    <w:name w:val="ConsPlusDocList"/>
    <w:pPr>
      <w:widowControl w:val="off"/>
    </w:pPr>
    <w:rPr>
      <w:rFonts w:ascii="Courier New" w:hAnsi="Courier New" w:cs="Courier New"/>
    </w:rPr>
  </w:style>
  <w:style w:type="paragraph" w:styleId="878" w:customStyle="1">
    <w:name w:val="ConsPlusTitlePage"/>
    <w:pPr>
      <w:widowControl w:val="off"/>
    </w:pPr>
    <w:rPr>
      <w:rFonts w:ascii="Tahoma" w:hAnsi="Tahoma" w:cs="Tahoma"/>
    </w:rPr>
  </w:style>
  <w:style w:type="paragraph" w:styleId="879" w:customStyle="1">
    <w:name w:val="ConsPlusJurTerm"/>
    <w:pPr>
      <w:widowControl w:val="off"/>
    </w:pPr>
    <w:rPr>
      <w:rFonts w:ascii="Arial" w:hAnsi="Arial" w:cs="Arial"/>
      <w:sz w:val="26"/>
    </w:rPr>
  </w:style>
  <w:style w:type="paragraph" w:styleId="880" w:customStyle="1">
    <w:name w:val="ConsPlusTextList"/>
    <w:pPr>
      <w:widowControl w:val="off"/>
    </w:pPr>
    <w:rPr>
      <w:rFonts w:ascii="Arial" w:hAnsi="Arial" w:cs="Arial"/>
    </w:rPr>
  </w:style>
  <w:style w:type="paragraph" w:styleId="881" w:customStyle="1">
    <w:name w:val="ConsPlusTextList"/>
    <w:pPr>
      <w:widowControl w:val="off"/>
    </w:pPr>
    <w:rPr>
      <w:rFonts w:ascii="Arial" w:hAnsi="Arial" w:cs="Arial"/>
    </w:rPr>
  </w:style>
  <w:style w:type="paragraph" w:styleId="882">
    <w:name w:val="Balloon Text"/>
    <w:basedOn w:val="674"/>
    <w:link w:val="88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83" w:customStyle="1">
    <w:name w:val="Текст выноски Знак"/>
    <w:basedOn w:val="684"/>
    <w:link w:val="882"/>
    <w:uiPriority w:val="99"/>
    <w:semiHidden/>
    <w:rPr>
      <w:rFonts w:ascii="Segoe UI" w:hAnsi="Segoe UI" w:cs="Segoe UI"/>
      <w:sz w:val="18"/>
      <w:szCs w:val="18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footer" Target="footer1.xml" /><Relationship Id="rId9" Type="http://schemas.openxmlformats.org/officeDocument/2006/relationships/footer" Target="footer2.xml" /><Relationship Id="rId10" Type="http://schemas.openxmlformats.org/officeDocument/2006/relationships/hyperlink" Target="https://login.consultant.ru/link/?req=doc&amp;base=RLAW049&amp;n=171825&amp;dst=121217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er2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>КонсультантПлюс Версия 4023.00.09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Правительства Новосибирской области от 20.02.2015 N 68-п
(ред. от 14.08.2023)
"Об утверждении государственной программы Новосибирской области "Стимулирование развития жилищного строительства в Новосибирской области"</dc:title>
  <dc:creator>Горбенко Светлана Павловна</dc:creator>
  <cp:revision>14</cp:revision>
  <dcterms:created xsi:type="dcterms:W3CDTF">2024-05-07T10:33:00Z</dcterms:created>
  <dcterms:modified xsi:type="dcterms:W3CDTF">2024-05-22T00:44:41Z</dcterms:modified>
</cp:coreProperties>
</file>