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ind w:left="5953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№ 5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3"/>
        <w:ind w:left="5953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государственной программе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 «Стимулирование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развития жилищного строительства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Новосибирской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54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4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предоставления и распределения субсидий из областного бюджета Новосибирской области местным бюджетам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фина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нсирование расходов по содействию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местным бюджетам в обеспечении жилыми помещениями многодетных семей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3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853"/>
        <w:ind w:firstLine="0"/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I. Общие положения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85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Настоящий Порядок предоставления и распределения субсидий из областного бюджета Новосибирской области местным бю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джетам регламентирует предоставление субсидий бюджетам муниципальных районов, муниципальных и городских округов Новосибирской области (далее – муниципальное образование) на обеспечение жилыми помещениями многодетных малоимущих семей по договорам социальног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найма в рамках реализации комплекса процессных мероприятий «Государственная поддержка отдельных категорий граждан на улучшение жилищных условий» государственной программы «Стимулирование развития жилищного строительства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Новосибирской области» (далее –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Порядок, государственная программа).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Обеспечение жилыми помещениями возможно за счет строительства (приобретения) жилых помещений для многодетных малоимущих семей, имеющих 5 и более несовершеннолетних детей, признанных нуждающимися в жилых помещениях, пред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оставляемых по договорам социального найма (далее – семья).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II. Целевое назначение субсидий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53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2. 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Субсидии предоставля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ются на софинансирование расходов</w:t>
      </w:r>
      <w:bookmarkStart w:id="0" w:name="_GoBack"/>
      <w:r>
        <w:rPr>
          <w:highlight w:val="none"/>
        </w:rPr>
      </w:r>
      <w:bookmarkEnd w:id="0"/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местных бюджетов в обеспечении жилыми помещениями многодетных семей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по договорам социального найма.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3. 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Субсидии предоставляются муниципальным образованиям в пределах бюджетных ассигнований и лимитов бюджетных обязательств, предусмотренных министер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ству строительства Новосибирской области (далее – Министерство).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4. Средства субсидии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носят целевой характер и не могут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 быть использованы на цели, не предусмотренные пунктом 2 настоящего Порядка.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b/>
          <w:color w:val="000000" w:themeColor="text1"/>
          <w:sz w:val="28"/>
          <w:szCs w:val="28"/>
          <w:highlight w:val="none"/>
          <w:lang w:eastAsia="ru-RU"/>
        </w:rPr>
        <w:t xml:space="preserve">III. П</w:t>
      </w:r>
      <w:r>
        <w:rPr>
          <w:rFonts w:ascii="Times New Roman" w:hAnsi="Times New Roman" w:eastAsia="Tahoma" w:cs="Times New Roman"/>
          <w:b/>
          <w:sz w:val="28"/>
          <w:szCs w:val="28"/>
          <w:highlight w:val="none"/>
          <w:lang w:eastAsia="ru-RU"/>
        </w:rPr>
        <w:t xml:space="preserve">орядок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пре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доставления, распределения и условия расходования субсидий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5. 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Субсидии распределяются муниципальным образованиям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 согласно сводному списку семей по Новосибирской области, который формируется в срок до 15 августа года, предшествующего планируемому, н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а основании списков муниципальных образований, по дате постановки семей на учет в качестве нуждающихся в улучшении жилищных условий с учетом права на предоставление жилого помещения вне очереди.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Право на обеспечение жилыми помещениями в соответствующем фин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ансовом году имеют состоящие на учете в качестве нуждающихся в жилых помещениях семьи, имеющие 5 или более несовершеннолетних детей, по состоянию на 1 января текущего финансового года.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Предоставление жилых помещений по договорам социального найма осуществл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яется в соответствии со статьей 57 Жилищного кодекса Российской Федерации.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Преимущество имеют семьи, имеющие право на обеспечение жилым помещением вне очереди в соответствии с частью 2 статьи 57 Жилищного кодекса Российской Федерации.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Субсидия для обеспече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ния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 жилым помещением 1 семьи рассчитывается исходя из состава семьи, нормы предоставления общей площади жилого помещения 15 кв. м, размера средней рыночной стоимости 1 кв. м общей площади жилья, установленной на территории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муниципального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 об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разования по месту жительства семьи (гражданина), но не более размера средней рыночной стоимости 1 кв. м общей площади жилья, установленной федеральным органом исполнительной власти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, уполномоченным Правительством Российской Федерации, на соответствующий пе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риод приобретения (строительства) жилого помещения, и коэффициента, предусмотренного в связи с необходимостью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софинансирования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 местными бюджетами, в размере предельного уровня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софинансирования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, установленного распоряжением Правительства Новосибирской облас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ти.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6. 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С муниципальными образованиями заключаются соглашения о предоставлении из областного бюджета Новосибирской области бюджету муниципального образования субсидий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 w:bidi="ru-RU"/>
        </w:rPr>
        <w:t xml:space="preserve">на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 w:bidi="ru-RU"/>
        </w:rPr>
        <w:t xml:space="preserve">со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 w:bidi="ru-RU"/>
        </w:rPr>
        <w:t xml:space="preserve">финансирование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 w:bidi="ru-RU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обеспечение жилыми помещениями многодетных малоимущих семей по договорам социального найма 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eastAsia="ru-RU" w:bidi="ru-RU"/>
        </w:rPr>
        <w:t xml:space="preserve">в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eastAsia="ru-RU" w:bidi="ru-RU"/>
        </w:rPr>
        <w:t xml:space="preserve"> соответствии с типовой формой, утвержденной приказом министерства финансов и на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eastAsia="ru-RU" w:bidi="ru-RU"/>
        </w:rPr>
        <w:t xml:space="preserve">логовой политики Новосибирской области от 09.01.2020 № 1-НПА (далее – Соглашение)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 w:bidi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Соглашение с муниципальными образованиями заключается в сроки, установленные бюджетным законодательством Российской Федерации.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7. 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При распределении субсидий между муниципальными образованиями объем субсидии не может превышать объема бюджетных ассигнований на исполнение расходных обязательств муниципального образования Новосибирской области, в целях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софинансирования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которых предоставл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яется субсидия, с учетом предельного уровня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софинансирования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, установленного распоряжением Правительства Новосибирской области об установлении предельных уровней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софинансирования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на очередной финансовый год и плановый период. 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eastAsia="Tahoma" w:cs="Arial"/>
          <w:color w:val="000000" w:themeColor="text1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8. Субсидии предоставляются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в соответствии с Правилами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утвержденными постановлением Правительства Новосибирской области от 03.03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.2020 № 40-п (далее — Правила предоставления субсидии).</w:t>
      </w:r>
      <w:r>
        <w:rPr>
          <w:rFonts w:ascii="Arial" w:hAnsi="Arial" w:eastAsia="Tahoma" w:cs="Arial"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Arial" w:hAnsi="Arial" w:eastAsia="Tahoma" w:cs="Arial"/>
          <w:color w:val="000000" w:themeColor="text1"/>
          <w:sz w:val="20"/>
          <w:szCs w:val="20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9. Финансирование осуществляется Министерством в пределах бюджетных ассигнований и лимитов бюджетных обязательств, утвержденных на эти цели законом Новосибирской области об областном бюджете Новосибир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ской области на текущий финансовый год и плановый период.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10. Субсидия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предоставляется и расходуется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 на следующих усло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виях: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наличие правовых актов муниципальных образований, утверждающих порядок использования средств местного бюджета,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требования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 (в случае если указанные расходные обязательства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софинансируются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 за счет средств субсидий и предусматри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вают предоставление из местных бюджетов межбюджетных трансфертов бюджетам городских и сельских поселений Новосибирской области (далее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–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 поселения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);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заключение на срок, соответствующий сроку распределения субсидий между местными бюджетами, соглашений о предоставлении субсидий, предусматривающих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обязательства муниципального образования по исполнению расходных обязательств, в целях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софинансирования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 которых предоставляются субсидии, и ответственность за неисполнение предусмотренных указанными соглашениями обязательств, в соответствии с типовыми форм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ами, утверждаемыми министерством финансов и налоговой политики Новосибирской области;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централизация закупок товаров, работ, услуг для обеспечения муниципальных нужд, финансовое обеспечение которых частично или полностью осуществляется за счет межбюджетных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трансфертов, в соответствии с постановлением Правительства Новосибирской области от 19.01.2015 № 12-п «О наделении полномочиями министерства строительства Новосибирской области»;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наличие муниципального контракта на приобретение (строительство) жилых помеще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ний;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софинансирование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 за счет местного бюджета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с учетом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 предельного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уровня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софинансирования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, установленного распоряжением Правительства Новосибирской области «О предельных уровн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ях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софинансирования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 Новосибирской области объемов расходных обязательств муниципальных образований на плановый год и плановый период» (далее – распоряжение  Правительства Новосибирской области)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от размера ассигнований, предусмотренных на соответствующий финансовый год;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наличие неиспользованного остатка суб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сокращение объема субсидии, в случае если объем бюджетных ассиг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нований на исполнение расходных обязательств муниципального образования, в целях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софинансирования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 которых предоставляются субсидии, установлен в местном бюджете ниже уровней, предусмотренных порядками предоставления субсидий, пропорционально снижению соотв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етствующего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уровня финансирования исполнения расходных обязательств муниципального образования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 за счет средств местного бюджета;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p>
      <w:pPr>
        <w:pStyle w:val="85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расходование субсидий осуществляется на основании сводного списка очередности по Новосибирской области семей, сформированного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дате постановки семей на учет в качестве нуждающихся жилищных помещениях с учетом права на предоставление жилого помещения вне очереди, и расчетной стоимости жилья;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высвобождения средств, предназначенных для обеспечения жилыми помещениями семей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муниципальном образовании, в том числе в случае отказа семьи или исключения из сводного списка семьи или возникновения экономии по результатам проведенных торгов 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строительство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(приобретение) жилого помещения, по письменному сообщению главы администрации соответствующ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его муниципального образования высвободившиеся средства подлежат использованию для обеспечения жилыми помещениями следующей семьи в соответствии с очередностью, сформировавшейся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 муниципальному образованию, в пределах объема субсидий, утвержденных законо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 об областном бюджете на текущий финансовый год и плановый период соответствующему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муниципальному образованию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IV. Результаты использования субсидий и порядок оценки эффективности использования средств субсидий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539"/>
        <w:jc w:val="center"/>
        <w:spacing w:after="0" w:line="240" w:lineRule="auto"/>
        <w:widowControl w:val="off"/>
        <w:rPr>
          <w:rFonts w:ascii="Times New Roman" w:hAnsi="Times New Roman" w:eastAsia="Tahoma" w:cs="Arial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Arial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ahoma" w:cs="Arial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ahoma" w:cs="Arial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Arial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11. Результатом использования субсидии является достижение показателя, установленного в Соглашении на текущий финансовый год и плановый период</w:t>
      </w:r>
      <w:r>
        <w:rPr>
          <w:rFonts w:ascii="Times New Roman" w:hAnsi="Times New Roman" w:eastAsia="Tahoma" w:cs="Arial"/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ahoma" w:cs="Arial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ahoma" w:cs="Arial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12. Оценка эффективности использования субсидии осуществляется Министерством на основе отчета о расходовании субсидии, представляемого муниципальным образованием в сроки, установленные в Соглашении,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а также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представляемых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администрацией муниципального обра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зования: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копии разрешения на ввод в эксплуатацию или выписку из Единого государственного реестра недвижимости на приобретенное (построенное) жилое помещение;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копии договоров социального найма, заключенных с семьей, либо гарантийное письмо администрации му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ниципального образования с указанием срока заключения договора социального найма.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Arial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13. Критерием оценки эффективности использования субсидии является достижение показателя, установленного в Соглашении.</w:t>
      </w:r>
      <w:r>
        <w:rPr>
          <w:rFonts w:ascii="Times New Roman" w:hAnsi="Times New Roman" w:eastAsia="Tahoma" w:cs="Arial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ahoma" w:cs="Arial"/>
          <w:color w:val="000000" w:themeColor="text1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V. Основания и порядок применения (освобождения) мер ответственности за нарушение условий соглашения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14. Министерство и органы государственного финансового контроля Новосибирской области осуществляют обязательную проверку соблюдения условий, целей и поряд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ка предоставления субсидий муниципальным образованиям.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15. Остаток бюджетных средств, неиспользованный муниципальным образованием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16. В случае нецелевого ис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пользования субсидии к муниципальному образованию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правоотношения.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17. Муниципальные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образования несут ответственность за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недостижение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показателя в соответствии с Соглашением.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18. Муниципальные образования и Министерство несут ответственность за неисполнение или ненадлежащее исполнение обязательств по Соглашению в соответствии с действующи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19. Муниципальные образования освобождаются от применения мер ответственности за нарушения условий Соглашения по основаниям, установленным Правилами предоставления субсидии.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_________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</w:style>
  <w:style w:type="paragraph" w:styleId="655">
    <w:name w:val="Heading 1"/>
    <w:basedOn w:val="654"/>
    <w:next w:val="654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next w:val="654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next w:val="654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next w:val="654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next w:val="654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next w:val="654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1">
    <w:name w:val="Heading 7"/>
    <w:basedOn w:val="654"/>
    <w:next w:val="654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2">
    <w:name w:val="Heading 8"/>
    <w:basedOn w:val="654"/>
    <w:next w:val="654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3">
    <w:name w:val="Heading 9"/>
    <w:basedOn w:val="654"/>
    <w:next w:val="654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Heading 1 Char"/>
    <w:basedOn w:val="664"/>
    <w:uiPriority w:val="9"/>
    <w:rPr>
      <w:rFonts w:ascii="Arial" w:hAnsi="Arial" w:eastAsia="Arial" w:cs="Arial"/>
      <w:sz w:val="40"/>
      <w:szCs w:val="40"/>
    </w:rPr>
  </w:style>
  <w:style w:type="character" w:styleId="668" w:customStyle="1">
    <w:name w:val="Heading 2 Char"/>
    <w:basedOn w:val="664"/>
    <w:uiPriority w:val="9"/>
    <w:rPr>
      <w:rFonts w:ascii="Arial" w:hAnsi="Arial" w:eastAsia="Arial" w:cs="Arial"/>
      <w:sz w:val="34"/>
    </w:rPr>
  </w:style>
  <w:style w:type="character" w:styleId="669" w:customStyle="1">
    <w:name w:val="Heading 3 Char"/>
    <w:basedOn w:val="664"/>
    <w:uiPriority w:val="9"/>
    <w:rPr>
      <w:rFonts w:ascii="Arial" w:hAnsi="Arial" w:eastAsia="Arial" w:cs="Arial"/>
      <w:sz w:val="30"/>
      <w:szCs w:val="30"/>
    </w:rPr>
  </w:style>
  <w:style w:type="character" w:styleId="670" w:customStyle="1">
    <w:name w:val="Heading 4 Char"/>
    <w:basedOn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5 Char"/>
    <w:basedOn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2" w:customStyle="1">
    <w:name w:val="Heading 6 Char"/>
    <w:basedOn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73" w:customStyle="1">
    <w:name w:val="Heading 7 Char"/>
    <w:basedOn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4" w:customStyle="1">
    <w:name w:val="Heading 8 Char"/>
    <w:basedOn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75" w:customStyle="1">
    <w:name w:val="Heading 9 Char"/>
    <w:basedOn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676" w:customStyle="1">
    <w:name w:val="Title Char"/>
    <w:basedOn w:val="664"/>
    <w:uiPriority w:val="10"/>
    <w:rPr>
      <w:sz w:val="48"/>
      <w:szCs w:val="48"/>
    </w:rPr>
  </w:style>
  <w:style w:type="character" w:styleId="677" w:customStyle="1">
    <w:name w:val="Subtitle Char"/>
    <w:basedOn w:val="664"/>
    <w:uiPriority w:val="11"/>
    <w:rPr>
      <w:sz w:val="24"/>
      <w:szCs w:val="24"/>
    </w:rPr>
  </w:style>
  <w:style w:type="character" w:styleId="678" w:customStyle="1">
    <w:name w:val="Quote Char"/>
    <w:uiPriority w:val="29"/>
    <w:rPr>
      <w:i/>
    </w:rPr>
  </w:style>
  <w:style w:type="character" w:styleId="679" w:customStyle="1">
    <w:name w:val="Intense Quote Char"/>
    <w:uiPriority w:val="30"/>
    <w:rPr>
      <w:i/>
    </w:rPr>
  </w:style>
  <w:style w:type="character" w:styleId="680" w:customStyle="1">
    <w:name w:val="Header Char"/>
    <w:basedOn w:val="664"/>
    <w:uiPriority w:val="99"/>
  </w:style>
  <w:style w:type="character" w:styleId="681" w:customStyle="1">
    <w:name w:val="Caption Char"/>
    <w:uiPriority w:val="99"/>
  </w:style>
  <w:style w:type="character" w:styleId="682" w:customStyle="1">
    <w:name w:val="Footnote Text Char"/>
    <w:uiPriority w:val="99"/>
    <w:rPr>
      <w:sz w:val="18"/>
    </w:rPr>
  </w:style>
  <w:style w:type="character" w:styleId="683" w:customStyle="1">
    <w:name w:val="Endnote Text Char"/>
    <w:uiPriority w:val="99"/>
    <w:rPr>
      <w:sz w:val="20"/>
    </w:rPr>
  </w:style>
  <w:style w:type="character" w:styleId="684" w:customStyle="1">
    <w:name w:val="Заголовок 1 Знак"/>
    <w:link w:val="655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56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57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59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62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63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654"/>
    <w:next w:val="654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Название Знак"/>
    <w:link w:val="693"/>
    <w:uiPriority w:val="10"/>
    <w:rPr>
      <w:sz w:val="48"/>
      <w:szCs w:val="48"/>
    </w:rPr>
  </w:style>
  <w:style w:type="paragraph" w:styleId="695">
    <w:name w:val="Subtitle"/>
    <w:basedOn w:val="654"/>
    <w:next w:val="654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basedOn w:val="654"/>
    <w:next w:val="654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54"/>
    <w:next w:val="654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54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Верхний колонтитул Знак"/>
    <w:link w:val="701"/>
    <w:uiPriority w:val="99"/>
  </w:style>
  <w:style w:type="paragraph" w:styleId="703">
    <w:name w:val="Footer"/>
    <w:basedOn w:val="654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54"/>
    <w:next w:val="65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basedOn w:val="66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 w:customStyle="1">
    <w:name w:val="Plain Table 1"/>
    <w:basedOn w:val="6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 w:customStyle="1">
    <w:name w:val="Plain Table 2"/>
    <w:basedOn w:val="66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 w:customStyle="1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 w:customStyle="1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 w:customStyle="1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 w:customStyle="1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 w:customStyle="1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 w:customStyle="1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563c1" w:themeColor="hyperlink"/>
      <w:u w:val="single"/>
    </w:rPr>
  </w:style>
  <w:style w:type="paragraph" w:styleId="834">
    <w:name w:val="footnote text"/>
    <w:basedOn w:val="654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54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54"/>
    <w:next w:val="654"/>
    <w:uiPriority w:val="39"/>
    <w:unhideWhenUsed/>
    <w:pPr>
      <w:spacing w:after="57"/>
    </w:pPr>
  </w:style>
  <w:style w:type="paragraph" w:styleId="841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42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43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44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45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46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47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48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54"/>
    <w:next w:val="654"/>
    <w:uiPriority w:val="99"/>
    <w:unhideWhenUsed/>
    <w:pPr>
      <w:spacing w:after="0"/>
    </w:pPr>
  </w:style>
  <w:style w:type="paragraph" w:styleId="851">
    <w:name w:val="No Spacing"/>
    <w:basedOn w:val="654"/>
    <w:uiPriority w:val="1"/>
    <w:qFormat/>
    <w:pPr>
      <w:spacing w:after="0" w:line="240" w:lineRule="auto"/>
    </w:pPr>
  </w:style>
  <w:style w:type="paragraph" w:styleId="852">
    <w:name w:val="List Paragraph"/>
    <w:basedOn w:val="654"/>
    <w:uiPriority w:val="34"/>
    <w:qFormat/>
    <w:pPr>
      <w:contextualSpacing/>
      <w:ind w:left="720"/>
    </w:pPr>
  </w:style>
  <w:style w:type="paragraph" w:styleId="853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paragraph" w:styleId="854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b/>
      <w:sz w:val="20"/>
      <w:szCs w:val="20"/>
      <w:lang w:eastAsia="ru-RU"/>
    </w:rPr>
  </w:style>
  <w:style w:type="paragraph" w:styleId="855">
    <w:name w:val="Balloon Text"/>
    <w:basedOn w:val="654"/>
    <w:link w:val="85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6" w:customStyle="1">
    <w:name w:val="Текст выноски Знак"/>
    <w:basedOn w:val="664"/>
    <w:link w:val="855"/>
    <w:uiPriority w:val="99"/>
    <w:semiHidden/>
    <w:rPr>
      <w:rFonts w:ascii="Tahoma" w:hAnsi="Tahoma" w:cs="Tahoma"/>
      <w:sz w:val="16"/>
      <w:szCs w:val="16"/>
    </w:rPr>
  </w:style>
  <w:style w:type="paragraph" w:styleId="857">
    <w:name w:val="annotation text"/>
    <w:basedOn w:val="654"/>
    <w:link w:val="85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8" w:customStyle="1">
    <w:name w:val="Текст примечания Знак"/>
    <w:basedOn w:val="664"/>
    <w:link w:val="857"/>
    <w:uiPriority w:val="99"/>
    <w:semiHidden/>
    <w:rPr>
      <w:sz w:val="20"/>
      <w:szCs w:val="20"/>
    </w:rPr>
  </w:style>
  <w:style w:type="character" w:styleId="859">
    <w:name w:val="annotation reference"/>
    <w:basedOn w:val="664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Елена Германовна</dc:creator>
  <cp:revision>17</cp:revision>
  <dcterms:created xsi:type="dcterms:W3CDTF">2024-05-06T10:37:00Z</dcterms:created>
  <dcterms:modified xsi:type="dcterms:W3CDTF">2024-05-22T00:42:48Z</dcterms:modified>
</cp:coreProperties>
</file>