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5669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left="566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государственной программе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«Стимулирование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жилищного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предоставления и распределения субсидий из областного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бюджета Новосибирской области местным бюджетам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исполнение обязательств застройщика по вводу многоквартирного дома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эксплуатацию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/>
    </w:p>
    <w:p>
      <w:pPr>
        <w:pStyle w:val="836"/>
        <w:ind w:left="0" w:right="0"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36"/>
        <w:ind w:left="0" w:right="0"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0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 Настоящий Порядок предоставления и распределения субсидий из областного бюджета Новосибирской области местным бюджетам на исполнение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обязательств застройщика по вводу многоквартирного дома в эксплуатацию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регламентирует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предоставление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субсидий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муниципальным районам, муниципальным и городским округам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Новосибирско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далее – муниципальные образования)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 финансирование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исполнения обязательств застройщика по вводу многоквартирного дома в эксплуатацию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рамках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реализации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комплекса процессных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меро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поддержка при завершении строительства «проблемных» жилых домов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государственной программы «Стимулирование развития жилищного строительства в Новосибирской области» (далее – Порядок, государственная программа).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II. Целевое назначение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 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предоставляются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муниципальным образованиям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целях софинансирования: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расходных обязательств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связанных с реализацией муниципальных правовых актов, предусматрив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ающих предоставление средств из местных бюджетов юридическим лицам для покрытия части расходов на оплату по договорам технологического присоединения, на установку лифтового оборудования, а также на проведение работ по благоустройству придомовой территории;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расходных обязательств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связанных с реализацией муниципальных актов, предусматривающих предоставлен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ие средств из местных бюджетов юридическим лицам для покрытия части расходов на погашение дебиторской задолженности указанных юридических лиц по договорам технологического присоединения,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установку лифтового оборудования, а также на проведение работ по благоустройству придомовой территории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отношении введенных в эксплуатацию объектов жилищного строительства.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Субсидии предоставляются муниципальным образованиям в пределах бюджетных ассигнований и лимитов бюджетных обязательств, предусмотренных министерству строительства Новосибирской области (далее – Министерство).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 Средства субсидии носят целевой характер и не могут быть использованы на цели, не предусмотренные пунктом 2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center"/>
        <w:spacing w:before="0" w:beforeAutospacing="0" w:after="0" w:afterAutospacing="0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III. 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орядок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предоставления,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распределени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я 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условия расходования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 субсидий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36"/>
        <w:ind w:left="0" w:right="0" w:firstLine="709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5. 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Субсидии предоставляются на основании отбора, проведенного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муниципальными образовани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 Критерием отбора для предоставление 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бсидий явля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ется наличие многоквартирных жилых домов, расположенных на территории муниципального образования, строительство которых осуществляется силами созданных в рамках процедуры банкротства застройщика жилищно-строительными кооперативами, включенных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план-график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(«дорожная карта»)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единых реестр проблемных объектов, предусмотренных частью 1 статьи 23.1 Федерального закона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от 30.12.2004 года № 214-ФЗ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«Об участии в долевом 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оительстве многоквартирных домов и иных объектов недвижимости и о внесении изменений в некоторые законодательные акты Российской Федерации», утвержденный Губернатором Новосибирской области, в соответствии с Распоряжением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26.05.2017 № 106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3-р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(далее – план-график)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color w:val="000000" w:themeColor="text1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7. 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Распределение субсидий между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муниципальными образованиями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 учетом предельных уровней софинансирования, включая критерии отбора муниципальных образований для предоставления субсидий, осуществляется на основании информации, представленной органами местного самоуправл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ения муниципальных образований, о предварительной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потребности в денежных средствах, необходимых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предоставления субсидий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жилищно-строительным кооперативам, осуществляющим завершение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многоквартирных жилых домов,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включенных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 - график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highlight w:val="none"/>
          <w14:ligatures w14:val="none"/>
        </w:rPr>
      </w:r>
      <w:r>
        <w:rPr>
          <w:color w:val="000000" w:themeColor="text1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8. 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 распределении субсидий между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муниципальными образованиями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объем субсидии не может превышать объем бюджетных ассигнований на исполнение расходных обязательств муниципального образования Новосибирской области, в целях софи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нансирования которых предоставляется субсидия, с учетом предельного уровня софинансирования, установленного распоряжением Правительства Новосибирской области об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установлении предельных уровней софинансирования на очередной финансовый год и плановый период.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trike w:val="0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8.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убсидии предоставляются в соответствии с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бирской области от 03.03.2020 № 40-п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(далее — Правила предоставления субсидии).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 Финансирование осуществляется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Министерство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в пределах бюджетных ассигнований и лимитов бюджетных обязательств, утвержденных на эти цели законом Новосибирской области об областном бюджете Новосибирской области на текущий финансовый год и плановый период (далее – Закон об областном бюджете).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Распределение субсидий между муниципальными образованиями утверждается Законом об областном бюджете.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10. 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Основанием для предоставл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ения субсидии является соглашение о предоставлении субсидий, заключаемое между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Министерством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и муниципальным образованием, в соответствии с типовой формой, утвержденной приказом министерства финансов и налоговой политики Новосибирской области от 09.01.2020 № 1-НПА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Об утверждении типовой формы соглашения о предоставлении субсидии из областного бюджета Новосибирской области бюд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жету муниципального образования Новосибирской области» (далее – Соглашение)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Соглашение с муниципальными образованиями заключается в сроки, установленные бюджетным законодательством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  <w14:ligatures w14:val="none"/>
        </w:rPr>
        <w:t xml:space="preserve">11.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Условия предоставления субсидии: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ые правоотношения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в случае если указанные расходные обязательства софинансируются за счет средств субсидий и предусматривают предоставление 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 местных бюджетов межбюджетных трансфертов бюджетам городских и сельских поселений Новосибирской области (далее - поселения), субсид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ий юридическим лицам (за исключением субсидий муниципальным учреждениям), индивидуальным предпринимателям, а также физическим лицам - про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зводителям товаров, работ, услуг, прочих субсидий юридическим лицам)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политики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Новосибирской области;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й администрацией муниципального образования);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строительство объекта жилищного строительства ведется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огоквартирного дома в целях ввода объекта жилищного строительства в эксплуатацию, рассчитанных на основе проектной документации на строительство многоквартирного дома, в том числе сметной документации, выполненной по утвержденным государственным расценкам;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наличие разрешения на строительство объекта жилищного строительства;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наличие действующих технических условий и договоров технологического присоединения (в случае предоставления субсидии для покрытия части расходов на подключение к сетям инженерно-технической инфраструктуры);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аличие проектно-сметной документации на установку лифтового оборудования и (или) выполнение работ по благоустройству придомовой территории объекта жилищного строительства (в случае предоставления субсидии для покрытия части расходов на установку лифтового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оборудования и (или) выполнение работ по благоустройству придомовой территории).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12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Условием расходо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вания субсидий является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предоставление субсидий юридическим лицам для покрытия части расходов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 оплату по договорам технологического присоединения к сетям электро-, тепло-, водоснабжения и водоотведения (далее - договоры технологическог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присоединения),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строительства, по которым застройщиком по истечени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 шести месяцев со дня, установленного договором об участии в строительстве многоквартирного дома, не исполнены обязательст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ва по вводу многоквартирного дома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эксплуатацию и передаче гражданам жилых помещений.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IV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t xml:space="preserve">.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Результаты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использования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субсиди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t xml:space="preserve"> и порядок оценки эффективности использования средств субсидий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13. 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Результатом использования субсидии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является достижение показателя, установленного в Соглашении на текущий финансовый год и плановый период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Оценка эффективности использования субсидии осуществляется Министерством на основе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отчета о расходовании субсидии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представляемого муниципальным образованием в сроки, установленные в Соглашении.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15. 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Критерием оценки эффективности использования субсидии является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достижение показателя,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установленного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Соглашении.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Основания и порядок применения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(освобождения)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мер ответственности за нарушение условий соглашения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16. 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предоставления субсидий муниципальным образованиям.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17. Остаток бюджетных средств, неиспользованный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муниципальным образованием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18. В случае нецелевог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19. Муниципальные образования несут ответственность за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недостижение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показателя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 соответствии с Соглашением.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20. 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21. 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Муниципальные образования освобождаются от применения мер ответственности за нарушения условий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оглашения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 основаниям, установленными Правилами предоставления субсидии.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center"/>
        <w:spacing w:after="0" w:afterAutospacing="0" w:line="240" w:lineRule="auto"/>
        <w:tabs>
          <w:tab w:val="left" w:pos="7721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ahoma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ahoma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2024-05-20T08:17:33Z</dcterms:modified>
</cp:coreProperties>
</file>