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56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ПРИЛОЖЕ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№ 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6"/>
        <w:ind w:left="56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 государственной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 «Стимулиров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развития жилищного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6"/>
        <w:ind w:left="56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56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56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7"/>
        <w:ind w:left="0" w:right="0" w:firstLine="0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Порядок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7"/>
        <w:ind w:left="0" w:right="0" w:firstLine="0"/>
        <w:jc w:val="center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предоставления и распределения субсидий из областного бюджета Новосибирской области местным бюджетам на ф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инансирование расходов, 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связанных с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 подготовк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ой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 градостроительной документации и (или) внесение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м</w:t>
      </w:r>
      <w:r>
        <w:rPr>
          <w:rFonts w:ascii="Times New Roman" w:hAnsi="Times New Roman" w:eastAsia="Tahoma" w:cs="Times New Roman"/>
          <w:b/>
          <w:bCs/>
          <w:color w:val="000000" w:themeColor="text1"/>
          <w:sz w:val="28"/>
          <w:szCs w:val="28"/>
          <w:highlight w:val="none"/>
          <w:lang w:val="ru-RU" w:eastAsia="ru-RU" w:bidi="ar-SA"/>
        </w:rPr>
        <w:t xml:space="preserve"> изменений в нее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836"/>
        <w:ind w:left="0" w:right="0" w:firstLine="709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36"/>
        <w:ind w:left="0" w:right="0" w:firstLine="709"/>
        <w:jc w:val="center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I. Общие 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721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1. Настоящий 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Порядок предоставления и распределения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t xml:space="preserve">субсидий из областного бюджета Новосибирской области местным бюджетам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инансирование расходов,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связанных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подготовк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градостроительной документации и (или) внесение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изменений в нее,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регламентирует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субсидий муниципальным образо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ваниям Новосибирско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й области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на ф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инансирование расходов, 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связанных с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 подготовк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ой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 градостроительной документации и (или) внесение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м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 изменений в нее,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в рамках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комплекса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none"/>
          <w:lang w:val="ru-RU" w:eastAsia="ru-RU" w:bidi="ar-SA"/>
        </w:rPr>
        <w:t xml:space="preserve"> процессных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 «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Градостроительное развитие территорий Новосибирской области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государственной программы «Стимулирование развития жилищного строительства в Новосибирской области»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(далее – Порядок, государственная программа).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0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7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II. Целевое назначение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7"/>
        <w:jc w:val="center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  <w14:ligatures w14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2. 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Субсидии предоставляются в целях софинансирования муниципальных районов, 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муниципальны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х и 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городских округов Новосибирской области 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(далее – муниципальные образования)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 для подготовки: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highlight w:val="none"/>
        </w:rPr>
      </w:r>
      <w:hyperlink r:id="rId8" w:tooltip="https://login.consultant.ru/link/?req=doc&amp;base=RLAW049&amp;n=168477&amp;dst=100300" w:history="1">
        <w:r>
          <w:rPr>
            <w:rFonts w:ascii="Times New Roman" w:hAnsi="Times New Roman" w:eastAsia="Tahoma" w:cs="Times New Roman"/>
            <w:b w:val="0"/>
            <w:bCs w:val="0"/>
            <w:color w:val="000000" w:themeColor="text1"/>
            <w:sz w:val="28"/>
            <w:szCs w:val="28"/>
            <w:highlight w:val="none"/>
            <w:lang w:val="ru-RU" w:eastAsia="ru-RU" w:bidi="ar-SA"/>
          </w:rPr>
          <w:t xml:space="preserve">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зонирования;</w:t>
        </w:r>
      </w:hyperlink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color w:val="000000" w:themeColor="text1"/>
          <w:highlight w:val="none"/>
        </w:rPr>
      </w:r>
      <w:hyperlink r:id="rId9" w:tooltip="https://login.consultant.ru/link/?req=doc&amp;base=RLAW049&amp;n=168477&amp;dst=100300" w:history="1">
        <w:r>
          <w:rPr>
            <w:rFonts w:ascii="Times New Roman" w:hAnsi="Times New Roman" w:eastAsia="Tahoma" w:cs="Times New Roman"/>
            <w:b w:val="0"/>
            <w:bCs w:val="0"/>
            <w:color w:val="000000" w:themeColor="text1"/>
            <w:sz w:val="28"/>
            <w:szCs w:val="28"/>
            <w:highlight w:val="none"/>
            <w:lang w:val="ru-RU" w:eastAsia="ru-RU" w:bidi="ar-SA"/>
          </w:rPr>
          <w:t xml:space="preserve">документации по планировке территории.</w:t>
        </w:r>
      </w:hyperlink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  <w14:ligatures w14:val="none"/>
        </w:rPr>
        <w:t xml:space="preserve">3. 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Субсидии предоставляются муниципальным образованиям в пределах бюджетных ассигнований и лимитов бюджетных обязательств, предусмотренных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министерству строительства Новосибирской области (далее – Министерство).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4. Средства субсидии носят целевой характер и не могут быть использованы на цели, не предусмотренные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пунктом 2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III. П</w:t>
      </w:r>
      <w:hyperlink r:id="rId10" w:tooltip="https://login.consultant.ru/link/?req=doc&amp;base=RLAW049&amp;n=171825&amp;dst=121217" w:history="1">
        <w:r>
          <w:rPr>
            <w:rFonts w:ascii="Times New Roman" w:hAnsi="Times New Roman" w:cs="Times New Roman"/>
            <w:b/>
            <w:color w:val="000000" w:themeColor="text1"/>
            <w:sz w:val="28"/>
            <w:szCs w:val="28"/>
            <w:highlight w:val="none"/>
          </w:rPr>
          <w:t xml:space="preserve">орядок </w:t>
        </w:r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highlight w:val="none"/>
          </w:rPr>
          <w:t xml:space="preserve">предоставления, </w:t>
        </w:r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highlight w:val="none"/>
          </w:rPr>
          <w:t xml:space="preserve">распределени</w:t>
        </w:r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highlight w:val="none"/>
          </w:rPr>
          <w:t xml:space="preserve">я и </w:t>
        </w:r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highlight w:val="none"/>
          </w:rPr>
          <w:t xml:space="preserve">условия расходовани</w:t>
        </w:r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highlight w:val="none"/>
          </w:rPr>
          <w:t xml:space="preserve">я</w:t>
        </w:r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8"/>
            <w:szCs w:val="28"/>
            <w:highlight w:val="none"/>
          </w:rPr>
          <w:t xml:space="preserve"> субсидий</w:t>
        </w:r>
      </w:hyperlink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5. 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Субсидии предоставляются муниципальным образованиям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результатам отбора.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Отбор муниципальных образований для предоставления субсидий проводится в порядке и в сроки, установленные Порядком проведения отбора муниципальных образований Новосибирской области для предоставления субсидий на градостроительную подго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товку территорий Новосибирской области, утвержденным постановлением Правительства Новосибирской области от 27.12.2017 № 466-п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ahoma" w:cs="Times New Roman"/>
          <w:b w:val="0"/>
          <w:bCs w:val="0"/>
          <w:color w:val="000000" w:themeColor="text1"/>
          <w:sz w:val="28"/>
          <w:szCs w:val="28"/>
          <w:highlight w:val="none"/>
          <w:lang w:val="ru-RU" w:eastAsia="ru-RU" w:bidi="ar-SA"/>
        </w:rPr>
        <w:t xml:space="preserve">6. 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результатам отбора с муниципальными образованиями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заключаются соглашения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предоставлении из областного бюджета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бюджету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bidi="ru-RU"/>
        </w:rPr>
        <w:t xml:space="preserve">на финансирование расходов на подготовку градостроительной документации и (или) внесение изменений в нее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bidi="ru-RU"/>
        </w:rPr>
        <w:t xml:space="preserve"> </w:t>
      </w:r>
      <w:hyperlink r:id="rId11" w:tooltip="https://login.consultant.ru/link/?req=doc&amp;base=RLAW049&amp;n=171825&amp;dst=1212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  <w:lang w:bidi="ru-RU"/>
          </w:rPr>
          <w:t xml:space="preserve">в соответствии с типовой формой, утвержденной приказом министерства финансов и налоговой политики Новосибирской области от 09.01.2020 № 1-НПА (далее – Соглашение)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bidi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Соглашение с муниципальными образованиями заключается в сроки, установленные бюджетным законодательством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7. 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При распределении субсидий между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муниципальными образованиями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объем субсидии не может превышать объема бюджетных ассигнований на исполнение расходных обязательств муниципального образования Новосибирской области, в целях софи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ансирования которых предоставляется субсидия, с учетом предельного уровня софинансирования, установленного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strike w:val="0"/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8.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убсидии предоставляются в соответствии с Правилами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утвержденными постановлением Правительства Новоси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бирской области от 03.03.2020 № 40-п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(далее — Правила предоставления субсидии).</w:t>
      </w:r>
      <w:r>
        <w:rPr>
          <w:strike w:val="0"/>
          <w:color w:val="000000" w:themeColor="text1"/>
          <w:highlight w:val="none"/>
        </w:rPr>
      </w:r>
      <w:r>
        <w:rPr>
          <w:strike w:val="0"/>
          <w:color w:val="000000" w:themeColor="text1"/>
          <w:highlight w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9. 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Финансирование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Министерство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пределах бюджетных ассигнований и лимитов бюджетных обязательств, утвержденных на эти цели законом Новосибирской области об областном бюджете Новосибирской области на текущий финансовый год и плановый период (далее – Закон об областном бюджете).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t xml:space="preserve">Распределение субсидий между муниципальными образованиями утверждается Законом об областном бюджете.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10. 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Субсиди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предоставля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тся в соответствии с заявкой о перечислении су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бсиди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, содержащей наименование проекта и сумму.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11.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 Средства субсидии могут быть направлены на предоставлени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е из местного бюджета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межбюджетных трансфертов бюджетам городских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поселений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Новосибирской области, входящим в данный муниципальный район Новосибирской области, в рамках установленных направлений расходования субсидии с заключением соответствующих Соглашений. В указанные Соглашения включаются условия (обязательства ст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орон), установление которых обеспечивает исполнение муниципальными районами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в которые входят эти городские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поселения, требований целевого использования средств субсидии и соблюдение иных обязательств в рамках заключенного Соглашения.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12.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 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Субсидия предоставляется и расходуется на следующих условиях: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наличие правовых актов муниципальных образований, утверж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дающих порядок использования средств в целях софинансирования расходных обязательств, по которым предоставляется субсидия, соответствующих бюджетному законодательству Российской Федерации и нормативным правовым актам, регулирующим бюджетные правоотношения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поселений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софинансирования котор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36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централизаци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закупок товаров, работ, услуг для обеспечения муниципальных нужд, финансовое обеспечение которых частично или полностью осуществляется за счет субсидии, в соответствии с </w:t>
      </w:r>
      <w:hyperlink r:id="rId12" w:tooltip="consultantplus://offline/ref=AE7BE65BD569DD3E10B67B19C30B277416AB680DE931124C91CBDEDAF460B96E1FE1A4E267FD5BDC248D8B8B06FCB0E071F2IBD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none"/>
            <w:u w:val="none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Правительства Новосибирской области от 19.01.2015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№ 12-п «О наделении полномочиями министерства строительства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36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наличие в местном бюджете неиспользованного остатка субсидий, предоставленных ранее на аналогичные цели, в объеме, не превышающем 5 % от общего объема субсидии, запланированного к предоставлению в соответствующем финансовом году, или его отсутствие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36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софинансирования которых предоставляется субси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дия, установлен в местном бюджете ниже уровня, предусмотренного Порядком предоставления субсидии,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ru-RU" w:eastAsia="ru-RU" w:bidi="ar-SA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center"/>
        <w:spacing w:before="0" w:beforeAutospacing="0" w:after="0" w:afterAutospacing="0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IV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t xml:space="preserve">.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Результаты использования субсиди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t xml:space="preserve"> и порядок оценки эффективности использования средств субсидий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539"/>
        <w:jc w:val="center"/>
        <w:spacing w:before="0"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836"/>
        <w:ind w:firstLine="539"/>
        <w:jc w:val="both"/>
        <w:spacing w:before="0"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13. 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Результатом использования субсидии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является достижение показателя, установленного в Соглашении на текущий финансовый год и плановый период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pStyle w:val="836"/>
        <w:ind w:firstLine="539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14. 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Оценка эффективности использования субсидии осуществляется Министерством на основе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отчета о расходовании субсидии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представляемого муниципальным образованием в сроки, установленные в Соглашении.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539"/>
        <w:jc w:val="both"/>
        <w:spacing w:before="0" w:after="0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t xml:space="preserve">15. 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Критерием оценки эффективности использования субсидии является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достижение показателя,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установленного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Соглашении.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V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Основания и порядок применения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(освобождения)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мер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ответственности за нарушение условий соглашения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16. 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Министерство и органы государственного финансового контроля Новосибирской области осуществляют обязательную проверку соблюдения условий, целей и порядк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предоставления субсидий муниципальным образованиям.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17. Остаток бюджетных средств, неиспользованный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муниципальным образованием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18. В случае нецелевог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19. Муниципальные образования несут ответственность за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недостижение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показателя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в соответствии с Соглашением.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20. Муниципальные образования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21. Муниципальные образования освобождаются от применения мер ответственности за нарушения условий </w:t>
      </w:r>
      <w:r>
        <w:rPr>
          <w:rFonts w:ascii="Times New Roman" w:hAnsi="Times New Roman" w:eastAsia="Tahoma" w:cs="Times New Roman"/>
          <w:color w:val="000000" w:themeColor="text1"/>
          <w:sz w:val="28"/>
          <w:szCs w:val="28"/>
          <w:highlight w:val="none"/>
          <w:lang w:val="ru-RU" w:eastAsia="ru-RU" w:bidi="ar-SA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оглашения: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left="0" w:right="0" w:firstLine="709"/>
        <w:jc w:val="both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 основаниям, установленным Правилами предоставления субсидии;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6"/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наличии документально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твержденно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го превышения регламентированного срока согласования проекта градостроительной документации федеральными и региональными органами власти, повлекшего недостижени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результатов использования субсидий;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наличии отказа в постановке на государст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енный кадастровый учет границ населенных пунктов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границ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территориальных зон при пересечени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земельных участков, поставленных на государственный кадастровый учет после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размещения проект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градостроительной документации в федеральной государственной информационной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ffffff" w:themeColor="background1" w:fill="ffffff" w:themeFill="background1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системе территориального планирования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направления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согласование.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ahoma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7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ahoma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049&amp;n=168477&amp;dst=100300" TargetMode="External"/><Relationship Id="rId9" Type="http://schemas.openxmlformats.org/officeDocument/2006/relationships/hyperlink" Target="https://login.consultant.ru/link/?req=doc&amp;base=RLAW049&amp;n=168477&amp;dst=100300" TargetMode="External"/><Relationship Id="rId10" Type="http://schemas.openxmlformats.org/officeDocument/2006/relationships/hyperlink" Target="https://login.consultant.ru/link/?req=doc&amp;base=RLAW049&amp;n=171825&amp;dst=121217" TargetMode="External"/><Relationship Id="rId11" Type="http://schemas.openxmlformats.org/officeDocument/2006/relationships/hyperlink" Target="https://login.consultant.ru/link/?req=doc&amp;base=RLAW049&amp;n=171825&amp;dst=121217" TargetMode="External"/><Relationship Id="rId12" Type="http://schemas.openxmlformats.org/officeDocument/2006/relationships/hyperlink" Target="consultantplus://offline/ref=AE7BE65BD569DD3E10B67B19C30B277416AB680DE931124C91CBDEDAF460B96E1FE1A4E267FD5BDC248D8B8B06FCB0E071F2IB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2024-05-21T07:02:22Z</dcterms:modified>
</cp:coreProperties>
</file>