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«Утверждена постановлением Правительства Новосибирской области от 20.02.2015 № 68-п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ГОСУДАРСТВЕННАЯ ПРОГРАММА НОВОСИБИРСКОЙ ОБЛАСТИ «СТИМУЛИРОВАНИЕ РАЗВИТИЯ ЖИЛИЩНОГО СТРОИТЕЛЬСТВА В НОВОСИБИРСКОЙ ОБЛАСТИ»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«I.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тратегические приори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теты государственной программы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овосибирской области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тимулирование раз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вития жилищного строительства в 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884"/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Оценка текущего состояния жилищного строительства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84"/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Общий совокупный объем ввода жилья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период с 20</w:t>
      </w:r>
      <w:r>
        <w:rPr>
          <w:rFonts w:ascii="Times New Roman" w:hAnsi="Times New Roman" w:cs="Times New Roman"/>
          <w:sz w:val="28"/>
          <w:szCs w:val="28"/>
        </w:rPr>
        <w:t xml:space="preserve">15 до 2023 года составил 19,240 </w:t>
      </w:r>
      <w:r>
        <w:rPr>
          <w:rFonts w:ascii="Times New Roman" w:hAnsi="Times New Roman" w:cs="Times New Roman"/>
          <w:sz w:val="28"/>
          <w:szCs w:val="28"/>
        </w:rPr>
        <w:t xml:space="preserve">млн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кв.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метров, максимальный объем ввода зафиксирован в 2023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2023 года впервые за всю историю статистических наблюдений зафиксирован абсолютный рекорд введенного жилья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 xml:space="preserve"> ввода жилья составил 3,016 млн</w:t>
      </w:r>
      <w:r>
        <w:rPr>
          <w:rFonts w:ascii="Times New Roman" w:hAnsi="Times New Roman" w:cs="Times New Roman"/>
          <w:sz w:val="28"/>
          <w:szCs w:val="28"/>
        </w:rPr>
        <w:t xml:space="preserve"> кв. метров, из которых многоквартирные дома </w:t>
      </w:r>
      <w:r>
        <w:rPr>
          <w:rFonts w:ascii="Times New Roman" w:hAnsi="Times New Roman" w:cs="Times New Roman"/>
          <w:sz w:val="28"/>
          <w:szCs w:val="28"/>
        </w:rPr>
        <w:t xml:space="preserve">– 2,117 </w:t>
      </w:r>
      <w:r>
        <w:rPr>
          <w:rFonts w:ascii="Times New Roman" w:hAnsi="Times New Roman" w:cs="Times New Roman"/>
          <w:sz w:val="28"/>
          <w:szCs w:val="28"/>
        </w:rPr>
        <w:t xml:space="preserve">млн кв. метров, индивидуальное жилищное 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0,899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млн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кв.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метров.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Положительное влияние на развитие жилищного строительства оказали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введение льготных ипотечных программ, реализация механизмов «инфраструктурного</w:t>
      </w:r>
      <w:r>
        <w:rPr>
          <w:rFonts w:ascii="Times New Roman" w:hAnsi="Times New Roman" w:cs="Times New Roman"/>
          <w:sz w:val="28"/>
          <w:szCs w:val="28"/>
        </w:rPr>
        <w:t xml:space="preserve"> меню», а также сокращение инвестиционно-строительного цикла.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массового жилищного строительства установлены (обнаружены) факты недобросовестного </w:t>
      </w:r>
      <w:r>
        <w:rPr>
          <w:rFonts w:ascii="Times New Roman" w:hAnsi="Times New Roman" w:cs="Times New Roman"/>
          <w:sz w:val="28"/>
          <w:szCs w:val="28"/>
        </w:rPr>
        <w:t xml:space="preserve">исполнения заст</w:t>
      </w:r>
      <w:r>
        <w:rPr>
          <w:rFonts w:ascii="Times New Roman" w:hAnsi="Times New Roman" w:cs="Times New Roman"/>
          <w:sz w:val="28"/>
          <w:szCs w:val="28"/>
        </w:rPr>
        <w:t xml:space="preserve">ройщиками своих обязательств по 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строительству многоквартирных домов и передаче объектов долевого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в них гражданам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участникам долевого строительства, денежные средства которых были привлечены застройщиками для строительства многоквартирных домов.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 конец 2020 года в едином реестре проблемных объектов состояло порядка 110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проблемных объектов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20 марта 2020 года между Правите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льством Новосибирской области и </w:t>
      </w:r>
      <w:r>
        <w:rPr>
          <w:rFonts w:ascii="Times New Roman" w:hAnsi="Times New Roman" w:cs="Times New Roman"/>
          <w:sz w:val="28"/>
          <w:szCs w:val="28"/>
        </w:rPr>
        <w:t xml:space="preserve">публично-правовой компа</w:t>
      </w:r>
      <w:r>
        <w:rPr>
          <w:rFonts w:ascii="Times New Roman" w:hAnsi="Times New Roman" w:cs="Times New Roman"/>
          <w:sz w:val="28"/>
          <w:szCs w:val="28"/>
        </w:rPr>
        <w:t xml:space="preserve">нией «Фонд защиты прав граждан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участников долевого строительства»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ППК «Фонд»)</w:t>
      </w:r>
      <w:r>
        <w:rPr>
          <w:rFonts w:ascii="Times New Roman" w:hAnsi="Times New Roman" w:cs="Times New Roman"/>
          <w:sz w:val="28"/>
          <w:szCs w:val="28"/>
        </w:rPr>
        <w:t xml:space="preserve">, созданной для повышения гарантий защиты пр</w:t>
      </w:r>
      <w:r>
        <w:rPr>
          <w:rFonts w:ascii="Times New Roman" w:hAnsi="Times New Roman" w:cs="Times New Roman"/>
          <w:sz w:val="28"/>
          <w:szCs w:val="28"/>
        </w:rPr>
        <w:t xml:space="preserve">ав и законных интересов граждан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участников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строительства, в </w:t>
      </w:r>
      <w:r>
        <w:rPr>
          <w:rFonts w:ascii="Times New Roman" w:hAnsi="Times New Roman" w:cs="Times New Roman"/>
          <w:sz w:val="28"/>
          <w:szCs w:val="28"/>
        </w:rPr>
        <w:t xml:space="preserve">том числе участников долевого строительства,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заключено соглашение, предметом которого является предоставление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ППК «Фонд»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из областного бюджета Новосибирской области субсидии для финансирования мероприятий по завершению строительства объектов незавершенного строительства и выплате возмещения денежных средств гражданам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участникам долевого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строительства.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Правительством Новосибирской области совместно с ППК «Фонд» в период с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2020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года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 настоящее время приняты решения о восстановлении прав граждан 35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проблемных объектов, из которых граждане по 27 объектам получили денежные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компенсаци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и, по 8 объектам принято решение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о завершении строительства. На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сегодняшний день 4 жилых дома введены в эксплуатацию.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В период с 2015 до 2023 года введено в экспл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уатацию 142 проблемных объекта.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завершения строительства жилых домов на территории Новосибирской области существуют меры поддержки: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оказание государственной поддержки учас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тникам долевого строительства в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соответствии с постановлением админис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трации Новосибирской области от 09.03.2010 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80-па «Об оказании государственной поддержки гражданам, пострадавшим от действий недобросовестных застройщиков Новосибирской области»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постановление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80-па) и постановлением Правите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льства Новосибирской области от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31.12.2019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520-п «О субсидиях гражданам, пострадавшим от действий недобросовестных застройщиков в Новосибирской области, на компенсацию части расходов по оплате стоимости жилого помещения, подлежащего передаче инициатором масштабного инвестиционного проекта»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постановление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520-па).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 начала реализации указанных постановлений в реестр на получение субсидий включено 1 254 челов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ека, сумма субсидий – 243 922,3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тыс. рублей, в том числе в 2023 году включено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 человек (по постановлению № 80-па – 19 человек, по постановлению 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520-п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 человек), су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мма субсидии – 3 653,4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тыс. 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предоставление субсидий на оплату договоров технологического подключения «проблемных объектов» к инже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нерно-технологическим сетям, на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благоустройство придомовых территорий и уст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ановку лифтового оборудования в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соответствии с подпрограммой «Государственная поддержка при завершении строительства «проблемных» жилых домов» государственной программы Новосибирской области «Стимулирование раз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вития жилищного строительства в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области», утвержденной постановлением Правительства 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20.02.2015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68-п «Об утверждении государственной программы Новосибирской области «Стимулирование развития жилищного строительства в Новосибирской области».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рамках реализации государств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енной программы в целях ввода в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эксплуатацию за период с 2015 до 2023 года предоставлены субсидии на оплату договоров технологического присоединения, установку лифтового оборудования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выполнение работ по благоустройству придомовой территории 33 проблемных жилых домов, из которых 28 введено в эксплуатацию;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предоставление земельных участков инициаторам масштабных инвестиционных проектов в соответствии с Законом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Новосибирской области от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07.2015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583-ОЗ «Об установл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Закон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583-ОЗ).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 начала действия Закона № 583-ОЗ по 49 масштабным инвестиционным проектам изданы распоряжения Губернатора Новосибирской области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предоставлении мэрией города Новосибирска инициаторам масштабных инвестиционных проектов земельных участков в пределах города Новосибирска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общей площадью 1 511 332 кв. м, из них семь распоряжений Губернатора Новосибирс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кой области изданы в 2023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реализации масштабных инвестиционных проектов на завершение строительства проблемных объектов направлено не менее 3 650,78 млн рублей, что позволило восстановить права 3 261 семьи в 18 проблемных объектах, начать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процесс восстановления нарушенных прав 1 765 семей в десяти проблемных объектах;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предоставление жилых помещ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ений гражданам в соответствии с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 мэрии города Новосибирска от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26.02.2018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709 «О Порядке передачи жилых помещений в собственн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ость гражданам, пострадавшим от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ии города Новосибирска» (далее – постановление № 709).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рамках реализации постановления № 709 инициаторами масштабных инвестиционных проектов будет передано гражданам в сроки, установленные договорами долевого участия, около 48,97 тыс. кв. м жилья, что позволит существенно сократить реестр граждан.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Комиссией проводится работа по восс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тановлению интересов граждан. В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время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79 граждан дали согласие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получение жилых помещений, из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которых 177 граждан получили жилые помещения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переуступили свое право на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жилое помещение, со 167 гражданами заключены договоры долевого участия, оставшиеся граждане ожидают заключения договоров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олевого участия с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инициаторами масш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табных инвестиционных проектов.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исключения возможности появ</w:t>
      </w:r>
      <w:r>
        <w:rPr>
          <w:rFonts w:ascii="Times New Roman" w:hAnsi="Times New Roman" w:cs="Times New Roman"/>
          <w:sz w:val="28"/>
          <w:szCs w:val="28"/>
        </w:rPr>
        <w:t xml:space="preserve">ления новых обманутых граждан – </w:t>
      </w:r>
      <w:r>
        <w:rPr>
          <w:rFonts w:ascii="Times New Roman" w:hAnsi="Times New Roman" w:cs="Times New Roman"/>
          <w:sz w:val="28"/>
          <w:szCs w:val="28"/>
        </w:rPr>
        <w:t xml:space="preserve">участников долевого строительства проведена масштабная реформа долевого строительства и осуществлен переход на привлечение средств граждан для финансирования жилищного строительства с использованием счетов эскроу.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состоянию на 29.01.2024 в сфере контроля министерства строительства Новосибирской области находится 637 многоквартирных жилых домов, из них 598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домов, строительство которых осуществляется с привлечением денежных средств участников долевого строительства пу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тем размещения таких средств на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счетах эскроу.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начало 2024 года в единый реестр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проблемных объектов включено 12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объектов недвижимости, из которых 10 жилых домов. Восстановление прав граждан планируется осуществить до конца 2024 года.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наиболее острых социальных проблем остается проблема обеспечения жильем категорий граждан, перед которыми государство имеет обязательства по обеспечению жильем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Так, в рамках данной государственной программы оказывается поддержка жителям области в решении жилищных вопросов за счет средств федерального бюджета и областного бюджетов, таких категорий как молодые семьи, многодетные семьи, работники бюджетной сферы.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Молодым семьям предоставляются социальные выплаты на приобретение жилья в размере до 35% от расчетной стоимости жилого помещения.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За период с 2015 до 2023 года обеспечены жильем 905 молодых семей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Обеспечение жилыми помещениями многодетных малообеспеченных семей, имеющих 5 и более несовершеннолетних детей, жилыми помещениями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договорам социального найма осуществляется за счет строительства (при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обретения) жилых помещений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путем предоставления субсидий муниципальным образованиям Новосибирской области и предоставления жилых помещений многодетным семьям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договорам социального найма.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 период с 2015 до 2023 года обеспечены жильем 108 многодетных семей.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С 2019 года реализуется мероприятие по обеспечению служебным жильем отдельных категорий граждан, проживающих и работающих на территории Новосибирской области, осуществляется пут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ем строительства жилых домов, а 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также приобретения жилых помещений на первичном рынке в муницип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альную собственность. Служебное жилье предоставляется работникам муниципальных учреждений, предприятий и организаций, государственных учреждений Новосибирской области, гражданам, замещающим должности муниципальной службы, участковым уполномоченным полиции.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За период с 2019 до 2023 года построено и приобретено на первичном рынке 342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жилых помещения.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Так же,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местным бюджетам муниципальных районов и городских округов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опл</w:t>
      </w:r>
      <w:r>
        <w:rPr>
          <w:rFonts w:ascii="Times New Roman" w:hAnsi="Times New Roman" w:cs="Times New Roman"/>
          <w:sz w:val="28"/>
          <w:szCs w:val="28"/>
        </w:rPr>
        <w:t xml:space="preserve">ачивались расходы, связанные со 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строительством служебного жилья и жи</w:t>
      </w:r>
      <w:r>
        <w:rPr>
          <w:rFonts w:ascii="Times New Roman" w:hAnsi="Times New Roman" w:cs="Times New Roman"/>
          <w:sz w:val="28"/>
          <w:szCs w:val="28"/>
        </w:rPr>
        <w:t xml:space="preserve">лья для детей</w:t>
      </w:r>
      <w:r>
        <w:rPr>
          <w:rFonts w:ascii="Times New Roman" w:hAnsi="Times New Roman" w:cs="Times New Roman"/>
          <w:sz w:val="28"/>
          <w:szCs w:val="28"/>
        </w:rPr>
        <w:t xml:space="preserve">-сирот, в том числе разработка проектной документации, инженерно-геологические, инженерно-экологические изыскания, авторский надзор, государственная экспертиза проектной документации; технологическое присоединение к инженерным сетям; строите</w:t>
      </w:r>
      <w:r>
        <w:rPr>
          <w:rFonts w:ascii="Times New Roman" w:hAnsi="Times New Roman" w:cs="Times New Roman"/>
          <w:sz w:val="28"/>
          <w:szCs w:val="28"/>
        </w:rPr>
        <w:t xml:space="preserve">льный контроль; затраты на ввод объекта в эксплуатацию (технический план бюро технической инвентаризации, замеры санитарно-эпидемиологической службы) и благоустройство. В рамках данных мероприятий построены 411 квартир, предоставленных в качестве служебных</w:t>
      </w:r>
      <w:r>
        <w:rPr>
          <w:rFonts w:ascii="Times New Roman" w:hAnsi="Times New Roman" w:cs="Times New Roman"/>
          <w:sz w:val="28"/>
          <w:szCs w:val="28"/>
        </w:rPr>
        <w:t xml:space="preserve"> и для детей-</w:t>
      </w:r>
      <w:r>
        <w:rPr>
          <w:rFonts w:ascii="Times New Roman" w:hAnsi="Times New Roman" w:cs="Times New Roman"/>
          <w:sz w:val="28"/>
          <w:szCs w:val="28"/>
        </w:rPr>
        <w:t xml:space="preserve">сирот.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Отдельным категориям работников бюджетной сферы предоставляются субсидии на оплату первоначального взноса по ипотечному жилищному кредиту (займу) в размере до 150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рублей.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За период с 2015 до 2023 года субсидии предоставлены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52 гражданам.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Массовое жилищное строи</w:t>
      </w:r>
      <w:r>
        <w:rPr>
          <w:rFonts w:ascii="Times New Roman" w:hAnsi="Times New Roman" w:cs="Times New Roman"/>
          <w:sz w:val="28"/>
          <w:szCs w:val="28"/>
        </w:rPr>
        <w:t xml:space="preserve">тельство и развитие территорий невозможны без осуществления грамотного, экономически и технически обоснованного градостроительного планирования. Необходимо обеспечение территорий документацией для осуществления градостроительной деятельности, приведенной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 о </w:t>
      </w:r>
      <w:r>
        <w:rPr>
          <w:rFonts w:ascii="Times New Roman" w:hAnsi="Times New Roman" w:cs="Times New Roman"/>
          <w:sz w:val="28"/>
          <w:szCs w:val="28"/>
        </w:rPr>
        <w:t xml:space="preserve">град</w:t>
      </w:r>
      <w:r>
        <w:rPr>
          <w:rFonts w:ascii="Times New Roman" w:hAnsi="Times New Roman" w:cs="Times New Roman"/>
          <w:sz w:val="28"/>
          <w:szCs w:val="28"/>
        </w:rPr>
        <w:t xml:space="preserve">остроительной деятельности. Это является необходимым условием для управления территорией, в том числе при принятии решений о резервировании земель, об изъятии земельных участков для государственных и муниципальных нужд, о переводе земель из одной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в другую, выдаче разрешений на 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перспективе в период с 2024 до 2030 года на территории Новосибирской области необходимо обеспечить совокупный ввод в эксплуатацию объектов </w:t>
      </w:r>
      <w:r>
        <w:rPr>
          <w:rFonts w:ascii="Times New Roman" w:hAnsi="Times New Roman" w:cs="Times New Roman"/>
          <w:sz w:val="28"/>
          <w:szCs w:val="28"/>
        </w:rPr>
        <w:t xml:space="preserve">жилищного строительства в объеме не менее 16,756 млн. кв. метров и выйти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уровень</w:t>
      </w:r>
      <w:r>
        <w:rPr>
          <w:rFonts w:ascii="Times New Roman" w:hAnsi="Times New Roman" w:cs="Times New Roman"/>
          <w:sz w:val="28"/>
          <w:szCs w:val="28"/>
        </w:rPr>
        <w:t xml:space="preserve"> годового объема ввода жилья до </w:t>
      </w:r>
      <w:r>
        <w:rPr>
          <w:rFonts w:ascii="Times New Roman" w:hAnsi="Times New Roman" w:cs="Times New Roman"/>
          <w:sz w:val="28"/>
          <w:szCs w:val="28"/>
        </w:rPr>
        <w:t xml:space="preserve">2,6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млн. кв. м к 2030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необходимого ввода жилья предусматриваются дополнительные меры, направленные на инфраструктурное обеспечение застраиваемых земельных участков.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В рамках деятельности АО «Агентство развития жилищного строительства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Новосибирской области» (далее –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АО «АРЖС НСО») в целях стимулирования жилищного строительства Новосибирской области реализуются проекты комплексного жилищного строительства, в том числе с использованием мер поддержки, предусмотренных федеральным проектом «Инфраструктурное меню».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Основным направлением АО «АРЖС НСО» является обеспечение сбалансированного и устойчивого развития муниципальных образований путем повышения качества городской среды и улучшения внешнего облика, архитектурно-стилистических и иных характеристик объек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тов капитального строительства.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документов территориального планирования будут определены оптимальные варианты видов разв</w:t>
      </w:r>
      <w:r>
        <w:rPr>
          <w:rFonts w:ascii="Times New Roman" w:hAnsi="Times New Roman" w:cs="Times New Roman"/>
          <w:sz w:val="28"/>
          <w:szCs w:val="28"/>
        </w:rPr>
        <w:t xml:space="preserve">ития жилищного строительства по 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образованиям Новосибирской области, исходя из перспектив социально-экономического и демографического развития поселений с учетом потребностей и предпочтений</w:t>
      </w:r>
      <w:r>
        <w:rPr>
          <w:rFonts w:ascii="Times New Roman" w:hAnsi="Times New Roman" w:cs="Times New Roman"/>
          <w:sz w:val="28"/>
          <w:szCs w:val="28"/>
        </w:rPr>
        <w:t xml:space="preserve"> их населения.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01.01.2016 министерство строительства Новосибирской области является уполномоченным органом по подготовке и утверждению генеральных планов, внесению в них изменений, а также по утверждению правил землепользования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застройки (далее – ПЗЗ) поселений в отношении 55 муниципальных образований, входящих в состав Новосибирской агломерации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развития, а также приведения в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с требованиями законодательства за период с 2015 до 2023 год осуществлена подготовка 89 проектов генеральных планов (в том числе проектов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изменений в генеральные планы) и 366 ПЗЗ (в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том числе проектов изменений в 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ПЗЗ).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В рамках реализации данной государственной программы осуществляется предоставление субсидий муниципальным образо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ваниям Новосибирской области на 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градостроительную подготовку те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рриторий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Так, в 2023 году в рамках соглашений о предоставлении из областного бюджета Новосибирской области бюджетам муниципальных районов Новосибирской области субсидий на финансирование расходов на подготовку градостроительной документации и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(или) внесение изменений в нее осуществлена подготовка 31 проекта генеральных планов (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в том числе проекта изменений в 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генеральные планы) и 23 ПЗЗ (в том числе проектов изменений в ПЗЗ).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Постановлением Правительства Новосибирской области от 23.01.2018 № 8-п «О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создании Фонда пространственных данных Новосибирской области» создан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shd w:val="clear" w:color="auto" w:fill="ffffff"/>
          <w:lang w:eastAsia="ru-RU"/>
        </w:rPr>
        <w:t xml:space="preserve">региональный фонд пространственных данных, фондодержателем которого является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ГБУ НСО «Геофонд НСО». В Региональный фонд включаются пространственные данные и материалы, полученные в резуль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тате выполнения геодезических и картографических работ.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Объем предоставленных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заявителям данных составляет 15 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249 шт., в том числе: в 2018 году – 38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шт., в 2019 году – 994 шт., в 2020 году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2661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шт., в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2021 году – 3421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 шт., в 2022 году –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3670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шт., в 2023 году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4465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шт.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сохранится высокая зависимость жилищной сферы от динамики макроэкономических показателей, которые будут оказывать существенное влияние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доходы населения, а также на процентную ставку и иные параметры ипотечного жилищного кредитования, определяющие уровень доступности жилья.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2. Описание приоритетов и целей государственной политики в сфере реализации государственной программы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</w:t>
      </w:r>
      <w:r>
        <w:rPr>
          <w:rFonts w:ascii="Times New Roman" w:hAnsi="Times New Roman" w:cs="Times New Roman"/>
          <w:sz w:val="28"/>
          <w:szCs w:val="28"/>
        </w:rPr>
        <w:t xml:space="preserve">и Новосибирской области в сфере жилищного строительства сформированы с учетом национальных целей развития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определенных Указом Президента Российской Федерации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07.05.2018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национальных целях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стратегических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задачах развития Российской Федерации на период до 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Единым</w:t>
      </w:r>
      <w:r>
        <w:rPr>
          <w:rFonts w:ascii="Times New Roman" w:hAnsi="Times New Roman" w:cs="Times New Roman"/>
          <w:sz w:val="28"/>
          <w:szCs w:val="28"/>
        </w:rPr>
        <w:t xml:space="preserve"> планом по </w:t>
      </w:r>
      <w:r>
        <w:rPr>
          <w:rFonts w:ascii="Times New Roman" w:hAnsi="Times New Roman" w:cs="Times New Roman"/>
          <w:sz w:val="28"/>
          <w:szCs w:val="28"/>
        </w:rPr>
        <w:t xml:space="preserve">достижению национальных целей и </w:t>
      </w:r>
      <w:r>
        <w:rPr>
          <w:rFonts w:ascii="Times New Roman" w:hAnsi="Times New Roman" w:cs="Times New Roman"/>
          <w:sz w:val="28"/>
          <w:szCs w:val="28"/>
        </w:rPr>
        <w:t xml:space="preserve">развития Российской Федерации на период до 2024 года и на плановый период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2030 года, утвержденным распоряжением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 </w:t>
      </w:r>
      <w:r>
        <w:rPr>
          <w:rFonts w:ascii="Times New Roman" w:hAnsi="Times New Roman" w:cs="Times New Roman"/>
          <w:sz w:val="28"/>
          <w:szCs w:val="28"/>
        </w:rPr>
        <w:t xml:space="preserve">01.10.2021 № 2765-р «Единый план по достижению национальных целей развития Российской Федерации на период до 20</w:t>
      </w:r>
      <w:r>
        <w:rPr>
          <w:rFonts w:ascii="Times New Roman" w:hAnsi="Times New Roman" w:cs="Times New Roman"/>
          <w:sz w:val="28"/>
          <w:szCs w:val="28"/>
        </w:rPr>
        <w:t xml:space="preserve">24 года и на плановый период до </w:t>
      </w:r>
      <w:r>
        <w:rPr>
          <w:rFonts w:ascii="Times New Roman" w:hAnsi="Times New Roman" w:cs="Times New Roman"/>
          <w:sz w:val="28"/>
          <w:szCs w:val="28"/>
        </w:rPr>
        <w:t xml:space="preserve">2030 года», государственной программой Российской Федерации «Обеспечение доступными комфортным жильем и коммунальными услугами граждан Российской Федерации», утвержденной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30.12.2017 № 1710 «Об утверждении государственной программы Российской Федерации «Обеспечение доступными комфортным жильем и коммунальными услугами граждан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Основными приоритетами государственной политики в жилищной сфере являются обеспечение доступности жилья для всех категорий граждан, создание условий для роста предложений на рынке жилья, соответствующего потребностям различных групп населения, в том числе: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эффективных рынков земельных участков, обеспеченных градостроительной документацией;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обеспечение участков массового жилищного строительства инженерной, коммунальной и транспортной инфраструктурой, вовлечение в жилищное строительство неиспользуемых или используемых неэффективно государственных и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муниципальных земельных участков;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содействие комплексному развитию территорий;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создание необходимых условий для развития транспортной, социальной, инженерной инфраструктур, благоустройства территорий поселений, муниципальных округов, городских округов, повышения территориальной доступности таких инфраструктур;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повышение эффективности использования территорий поселений, муниципальных округов, городских округов;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развитие рынка индивидуального жилищного строительства.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В результате реализации указанных приоритетных направлений к 2030 году будет достигнут необходимый </w:t>
      </w:r>
      <w:r>
        <w:rPr>
          <w:rFonts w:ascii="Times New Roman" w:hAnsi="Times New Roman" w:cs="Times New Roman"/>
          <w:sz w:val="28"/>
          <w:szCs w:val="28"/>
        </w:rPr>
        <w:t xml:space="preserve">объем ввода жилья на территории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Реализация государственной программы направлена на достижение национальных целей развития Российской Федерации на период до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2024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«Увеличение объема жилищного строительства не менее чем до 120 млн.квадратных метров в год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».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Достижение национальных целей реализуется путем достижения показателей «Объем жилищного строительства», а также «Вво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 жилья в рамках мероприятия по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стимулированию программ развития жилищного строительства субъектов Российской Федерации».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достижения национальных целей в рамках государственной программы реализуется региональный проект «Жилье» в рамках национального проекта «Жилье и городская среда».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3. Сведения о взаимосвязи со стратегическими приоритетами, целями и показателями государственных программ Российской Федерации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Достижение национальных целей осуществляется путем решения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 в рамках реализации государственной программы: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осуществления градостроительной деятельности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территории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содействие эффективному использованию земельных участков под жилищное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улучшение жилищных условий различных категорий граждан.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trike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4. Задачи государственного управления (задачи (направления) государственной программы), способы их эффективного решения</w:t>
      </w:r>
      <w:r>
        <w:rPr>
          <w:rFonts w:ascii="Times New Roman" w:hAnsi="Times New Roman" w:eastAsia="Times New Roman" w:cs="Times New Roman"/>
          <w:strike/>
          <w:sz w:val="28"/>
          <w:szCs w:val="28"/>
        </w:rPr>
      </w:r>
      <w:r>
        <w:rPr>
          <w:rFonts w:ascii="Times New Roman" w:hAnsi="Times New Roman" w:eastAsia="Times New Roman" w:cs="Times New Roman"/>
          <w:strike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в рамках структурных элементов государственной программы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градостроительного развития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механизма поддержки программ субъектов Российской Федерации по развитию жилищного строительства с учетом обязательств субъектов Российской Федерации по обеспечению ввода жилья;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инженерной и </w:t>
      </w:r>
      <w:r>
        <w:rPr>
          <w:rFonts w:ascii="Times New Roman" w:hAnsi="Times New Roman" w:cs="Times New Roman"/>
          <w:sz w:val="28"/>
          <w:szCs w:val="28"/>
        </w:rPr>
        <w:t xml:space="preserve">(или) коммунальной инфраструктурой площадок комплексной застройки, в том числе в целях строительства жилья;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инженерному обеспечению комплексного освоения земельных участков в муниципальных образованиях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реализации инфраструктурных проектов в рамках комплексного жилищного строительства;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инженерной инфраструктурой «проблемных» объектов незавершенного строительства;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государственной поддержки гражданам, пострадавшим от действий недобросовестных застройщиков;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государственной поддержки отдельным категориям граждан при строительстве и приобретении жилья;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строительства специализированного жилищного фонда для отдельных категорий граждан;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предоставление молодым семьям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участникам программы социальных выплат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прио</w:t>
      </w:r>
      <w:r>
        <w:rPr>
          <w:rFonts w:ascii="Times New Roman" w:hAnsi="Times New Roman" w:cs="Times New Roman"/>
          <w:sz w:val="28"/>
          <w:szCs w:val="28"/>
        </w:rPr>
        <w:t xml:space="preserve">бретение (строительство) жилья.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способам эффективного решения задач в рамках структурных элементов государственной программы относятся: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градостроительной документации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образований в 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целях обеспечения градостроительной деятельности в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 жилья в рамках мероприятия по стимулированию программ развития жилищного строительства субъектов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обеспечение необходимой инженерной 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(или) коммунальной инфраструктурой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площадок комплексной застройки территорий;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содействия муниципальным образованиям Новосибирской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инженерном обеспечении комплексного освоения земельных участков;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субсидий юридическим лиц</w:t>
      </w:r>
      <w:r>
        <w:rPr>
          <w:rFonts w:ascii="Times New Roman" w:hAnsi="Times New Roman" w:cs="Times New Roman"/>
          <w:sz w:val="28"/>
          <w:szCs w:val="28"/>
        </w:rPr>
        <w:t xml:space="preserve">ам на финансовое обеспечение их </w:t>
      </w:r>
      <w:r>
        <w:rPr>
          <w:rFonts w:ascii="Times New Roman" w:hAnsi="Times New Roman" w:cs="Times New Roman"/>
          <w:sz w:val="28"/>
          <w:szCs w:val="28"/>
        </w:rPr>
        <w:t xml:space="preserve">затрат на выполнение работ по технологическому присоединению к сетям инженерной инфраструктуры;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субсидии жилищн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-строительным кооперативам, осуществляющим </w:t>
      </w:r>
      <w:r>
        <w:rPr>
          <w:rFonts w:ascii="Times New Roman" w:hAnsi="Times New Roman" w:cs="Times New Roman"/>
          <w:sz w:val="28"/>
          <w:szCs w:val="28"/>
        </w:rPr>
        <w:t xml:space="preserve">завершение строительства «проблемных» объектов;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мер государственной подде</w:t>
      </w:r>
      <w:r>
        <w:rPr>
          <w:rFonts w:ascii="Times New Roman" w:hAnsi="Times New Roman" w:cs="Times New Roman"/>
          <w:sz w:val="28"/>
          <w:szCs w:val="28"/>
        </w:rPr>
        <w:t xml:space="preserve">ржки гражданам, пострадавшим от </w:t>
      </w:r>
      <w:r>
        <w:rPr>
          <w:rFonts w:ascii="Times New Roman" w:hAnsi="Times New Roman" w:cs="Times New Roman"/>
          <w:sz w:val="28"/>
          <w:szCs w:val="28"/>
        </w:rPr>
        <w:t xml:space="preserve">действий недобросовестных застройщиков;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поддержки на улучшение жилищных условий отдельных категорий граждан;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субсидий и иных межбюджетных трансфертов местным бюджетам на п</w:t>
      </w:r>
      <w:r>
        <w:rPr>
          <w:rFonts w:ascii="Times New Roman" w:hAnsi="Times New Roman" w:cs="Times New Roman"/>
          <w:sz w:val="28"/>
          <w:szCs w:val="28"/>
        </w:rPr>
        <w:t xml:space="preserve">роектирование, строительство и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жилых помещений специализированного жилищного фонда;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социальных выплат молодым семьям на приобретение (строительство) жилья.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97140600"/>
      <w:docPartObj>
        <w:docPartGallery w:val="Page Numbers (Top of Page)"/>
        <w:docPartUnique w:val="true"/>
      </w:docPartObj>
      <w:rPr/>
    </w:sdtPr>
    <w:sdtContent>
      <w:p>
        <w:pPr>
          <w:pStyle w:val="733"/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</w:rPr>
          <w:t xml:space="preserve">8</w:t>
        </w:r>
        <w:r>
          <w:rPr>
            <w:rFonts w:ascii="Times New Roman" w:hAnsi="Times New Roman" w:cs="Times New Roman"/>
            <w:sz w:val="20"/>
          </w:rPr>
          <w:fldChar w:fldCharType="end"/>
        </w:r>
        <w:r>
          <w:rPr>
            <w:rFonts w:ascii="Times New Roman" w:hAnsi="Times New Roman" w:cs="Times New Roman"/>
            <w:sz w:val="20"/>
          </w:rPr>
        </w:r>
        <w:r>
          <w:rPr>
            <w:rFonts w:ascii="Times New Roman" w:hAnsi="Times New Roman" w:cs="Times New Roman"/>
            <w:sz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</w:style>
  <w:style w:type="paragraph" w:styleId="687">
    <w:name w:val="Heading 1"/>
    <w:basedOn w:val="686"/>
    <w:next w:val="686"/>
    <w:link w:val="71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8">
    <w:name w:val="Heading 2"/>
    <w:basedOn w:val="686"/>
    <w:next w:val="686"/>
    <w:link w:val="71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next w:val="686"/>
    <w:link w:val="71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1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2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686"/>
    <w:next w:val="686"/>
    <w:link w:val="72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3">
    <w:name w:val="Heading 7"/>
    <w:basedOn w:val="686"/>
    <w:next w:val="686"/>
    <w:link w:val="72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4">
    <w:name w:val="Heading 8"/>
    <w:basedOn w:val="686"/>
    <w:next w:val="686"/>
    <w:link w:val="72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5">
    <w:name w:val="Heading 9"/>
    <w:basedOn w:val="686"/>
    <w:next w:val="686"/>
    <w:link w:val="72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1 Char"/>
    <w:basedOn w:val="696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basedOn w:val="696"/>
    <w:uiPriority w:val="9"/>
    <w:rPr>
      <w:rFonts w:ascii="Arial" w:hAnsi="Arial" w:eastAsia="Arial" w:cs="Arial"/>
      <w:sz w:val="34"/>
    </w:rPr>
  </w:style>
  <w:style w:type="character" w:styleId="701" w:customStyle="1">
    <w:name w:val="Heading 3 Char"/>
    <w:basedOn w:val="696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Heading 4 Char"/>
    <w:basedOn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Heading 5 Char"/>
    <w:basedOn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6 Char"/>
    <w:basedOn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basedOn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96"/>
    <w:uiPriority w:val="10"/>
    <w:rPr>
      <w:sz w:val="48"/>
      <w:szCs w:val="48"/>
    </w:rPr>
  </w:style>
  <w:style w:type="character" w:styleId="709" w:customStyle="1">
    <w:name w:val="Subtitle Char"/>
    <w:basedOn w:val="696"/>
    <w:uiPriority w:val="11"/>
    <w:rPr>
      <w:sz w:val="24"/>
      <w:szCs w:val="24"/>
    </w:rPr>
  </w:style>
  <w:style w:type="character" w:styleId="710" w:customStyle="1">
    <w:name w:val="Quote Char"/>
    <w:uiPriority w:val="29"/>
    <w:rPr>
      <w:i/>
    </w:rPr>
  </w:style>
  <w:style w:type="character" w:styleId="711" w:customStyle="1">
    <w:name w:val="Intense Quote Char"/>
    <w:uiPriority w:val="30"/>
    <w:rPr>
      <w:i/>
    </w:rPr>
  </w:style>
  <w:style w:type="character" w:styleId="712" w:customStyle="1">
    <w:name w:val="Header Char"/>
    <w:basedOn w:val="696"/>
    <w:uiPriority w:val="99"/>
  </w:style>
  <w:style w:type="character" w:styleId="713" w:customStyle="1">
    <w:name w:val="Caption Char"/>
    <w:uiPriority w:val="99"/>
  </w:style>
  <w:style w:type="character" w:styleId="714" w:customStyle="1">
    <w:name w:val="Footnote Text Char"/>
    <w:uiPriority w:val="99"/>
    <w:rPr>
      <w:sz w:val="18"/>
    </w:rPr>
  </w:style>
  <w:style w:type="character" w:styleId="715" w:customStyle="1">
    <w:name w:val="Endnote Text Char"/>
    <w:uiPriority w:val="99"/>
    <w:rPr>
      <w:sz w:val="20"/>
    </w:rPr>
  </w:style>
  <w:style w:type="character" w:styleId="716" w:customStyle="1">
    <w:name w:val="Заголовок 1 Знак"/>
    <w:link w:val="687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link w:val="688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link w:val="689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Title"/>
    <w:basedOn w:val="686"/>
    <w:next w:val="686"/>
    <w:link w:val="726"/>
    <w:uiPriority w:val="10"/>
    <w:qFormat/>
    <w:pPr>
      <w:contextualSpacing/>
      <w:spacing w:before="300"/>
    </w:pPr>
    <w:rPr>
      <w:sz w:val="48"/>
      <w:szCs w:val="48"/>
    </w:rPr>
  </w:style>
  <w:style w:type="character" w:styleId="726" w:customStyle="1">
    <w:name w:val="Заголовок Знак"/>
    <w:link w:val="725"/>
    <w:uiPriority w:val="10"/>
    <w:rPr>
      <w:sz w:val="48"/>
      <w:szCs w:val="48"/>
    </w:rPr>
  </w:style>
  <w:style w:type="paragraph" w:styleId="727">
    <w:name w:val="Subtitle"/>
    <w:basedOn w:val="686"/>
    <w:next w:val="686"/>
    <w:link w:val="728"/>
    <w:uiPriority w:val="11"/>
    <w:qFormat/>
    <w:pPr>
      <w:spacing w:before="200"/>
    </w:pPr>
    <w:rPr>
      <w:sz w:val="24"/>
      <w:szCs w:val="24"/>
    </w:rPr>
  </w:style>
  <w:style w:type="character" w:styleId="728" w:customStyle="1">
    <w:name w:val="Подзаголовок Знак"/>
    <w:link w:val="727"/>
    <w:uiPriority w:val="11"/>
    <w:rPr>
      <w:sz w:val="24"/>
      <w:szCs w:val="24"/>
    </w:rPr>
  </w:style>
  <w:style w:type="paragraph" w:styleId="729">
    <w:name w:val="Quote"/>
    <w:basedOn w:val="686"/>
    <w:next w:val="686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686"/>
    <w:next w:val="686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>
    <w:name w:val="Header"/>
    <w:basedOn w:val="686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 w:customStyle="1">
    <w:name w:val="Верхний колонтитул Знак"/>
    <w:link w:val="733"/>
    <w:uiPriority w:val="99"/>
  </w:style>
  <w:style w:type="paragraph" w:styleId="735">
    <w:name w:val="Footer"/>
    <w:basedOn w:val="686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Footer Char"/>
    <w:uiPriority w:val="99"/>
  </w:style>
  <w:style w:type="paragraph" w:styleId="737">
    <w:name w:val="Caption"/>
    <w:basedOn w:val="686"/>
    <w:next w:val="68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38" w:customStyle="1">
    <w:name w:val="Нижний колонтитул Знак"/>
    <w:link w:val="735"/>
    <w:uiPriority w:val="99"/>
  </w:style>
  <w:style w:type="table" w:styleId="739">
    <w:name w:val="Table Grid"/>
    <w:basedOn w:val="69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0" w:customStyle="1">
    <w:name w:val="Table Grid Light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1">
    <w:name w:val="Plain Table 1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69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9" w:customStyle="1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0" w:customStyle="1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1" w:customStyle="1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2" w:customStyle="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3" w:customStyle="1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4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3" w:customStyle="1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4" w:customStyle="1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5" w:customStyle="1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6" w:customStyle="1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 w:customStyle="1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2" w:customStyle="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3" w:customStyle="1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4" w:customStyle="1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5" w:customStyle="1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6" w:customStyle="1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7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 &amp; 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3" w:customStyle="1">
    <w:name w:val="Bordered &amp; 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Bordered &amp; 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Bordered &amp; 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Bordered &amp; 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7" w:customStyle="1">
    <w:name w:val="Bordered &amp; 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0" w:customStyle="1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1" w:customStyle="1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2" w:customStyle="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3" w:customStyle="1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4" w:customStyle="1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563c1" w:themeColor="hyperlink"/>
      <w:u w:val="single"/>
    </w:rPr>
  </w:style>
  <w:style w:type="paragraph" w:styleId="866">
    <w:name w:val="footnote text"/>
    <w:basedOn w:val="686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686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686"/>
    <w:next w:val="686"/>
    <w:uiPriority w:val="39"/>
    <w:unhideWhenUsed/>
    <w:pPr>
      <w:spacing w:after="57"/>
    </w:pPr>
  </w:style>
  <w:style w:type="paragraph" w:styleId="873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74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75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76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77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78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79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80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86"/>
    <w:next w:val="686"/>
    <w:uiPriority w:val="99"/>
    <w:unhideWhenUsed/>
    <w:pPr>
      <w:spacing w:after="0"/>
    </w:pPr>
  </w:style>
  <w:style w:type="paragraph" w:styleId="883">
    <w:name w:val="No Spacing"/>
    <w:basedOn w:val="686"/>
    <w:uiPriority w:val="1"/>
    <w:qFormat/>
    <w:pPr>
      <w:spacing w:after="0" w:line="240" w:lineRule="auto"/>
    </w:pPr>
  </w:style>
  <w:style w:type="paragraph" w:styleId="884">
    <w:name w:val="List Paragraph"/>
    <w:basedOn w:val="686"/>
    <w:uiPriority w:val="34"/>
    <w:qFormat/>
    <w:pPr>
      <w:contextualSpacing/>
      <w:ind w:left="720"/>
    </w:pPr>
  </w:style>
  <w:style w:type="paragraph" w:styleId="885">
    <w:name w:val="Plain Text"/>
    <w:basedOn w:val="686"/>
    <w:link w:val="886"/>
    <w:uiPriority w:val="99"/>
    <w:unhideWhenUsed/>
    <w:pPr>
      <w:spacing w:after="0" w:line="240" w:lineRule="auto"/>
    </w:pPr>
    <w:rPr>
      <w:rFonts w:ascii="Calibri" w:hAnsi="Calibri"/>
      <w:szCs w:val="21"/>
    </w:rPr>
  </w:style>
  <w:style w:type="character" w:styleId="886" w:customStyle="1">
    <w:name w:val="Текст Знак"/>
    <w:basedOn w:val="696"/>
    <w:link w:val="885"/>
    <w:uiPriority w:val="99"/>
    <w:rPr>
      <w:rFonts w:ascii="Calibri" w:hAnsi="Calibri"/>
      <w:szCs w:val="21"/>
    </w:rPr>
  </w:style>
  <w:style w:type="paragraph" w:styleId="887" w:customStyle="1">
    <w:name w:val="ConsPlusNormal"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character" w:styleId="888">
    <w:name w:val="annotation reference"/>
    <w:basedOn w:val="696"/>
    <w:uiPriority w:val="99"/>
    <w:semiHidden/>
    <w:unhideWhenUsed/>
    <w:rPr>
      <w:sz w:val="16"/>
      <w:szCs w:val="16"/>
    </w:rPr>
  </w:style>
  <w:style w:type="paragraph" w:styleId="889">
    <w:name w:val="annotation text"/>
    <w:basedOn w:val="686"/>
    <w:link w:val="89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0" w:customStyle="1">
    <w:name w:val="Текст примечания Знак"/>
    <w:basedOn w:val="696"/>
    <w:link w:val="889"/>
    <w:uiPriority w:val="99"/>
    <w:semiHidden/>
    <w:rPr>
      <w:sz w:val="20"/>
      <w:szCs w:val="20"/>
    </w:rPr>
  </w:style>
  <w:style w:type="paragraph" w:styleId="891">
    <w:name w:val="annotation subject"/>
    <w:basedOn w:val="889"/>
    <w:next w:val="889"/>
    <w:link w:val="892"/>
    <w:uiPriority w:val="99"/>
    <w:semiHidden/>
    <w:unhideWhenUsed/>
    <w:rPr>
      <w:b/>
      <w:bCs/>
    </w:rPr>
  </w:style>
  <w:style w:type="character" w:styleId="892" w:customStyle="1">
    <w:name w:val="Тема примечания Знак"/>
    <w:basedOn w:val="890"/>
    <w:link w:val="891"/>
    <w:uiPriority w:val="99"/>
    <w:semiHidden/>
    <w:rPr>
      <w:b/>
      <w:bCs/>
      <w:sz w:val="20"/>
      <w:szCs w:val="20"/>
    </w:rPr>
  </w:style>
  <w:style w:type="paragraph" w:styleId="893">
    <w:name w:val="Balloon Text"/>
    <w:basedOn w:val="686"/>
    <w:link w:val="89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4" w:customStyle="1">
    <w:name w:val="Текст выноски Знак"/>
    <w:basedOn w:val="696"/>
    <w:link w:val="89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Елена Владимировна</dc:creator>
  <cp:revision>19</cp:revision>
  <dcterms:created xsi:type="dcterms:W3CDTF">2024-03-15T10:30:00Z</dcterms:created>
  <dcterms:modified xsi:type="dcterms:W3CDTF">2024-05-20T08:08:02Z</dcterms:modified>
</cp:coreProperties>
</file>