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  <w:rPr>
                <w:sz w:val="2"/>
                <w:szCs w:val="2"/>
              </w:rPr>
            </w:pPr>
            <w:r>
              <w:rPr>
                <w:sz w:val="18"/>
                <w:szCs w:val="20"/>
              </w:rPr>
              <w:t xml:space="preserve"> 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12" cy="65734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12" cy="657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pt;height:51.8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sz w:val="2"/>
                <w:szCs w:val="2"/>
              </w:rPr>
            </w:r>
            <w:r/>
          </w:p>
        </w:tc>
      </w:tr>
      <w:tr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</w:pPr>
            <w:r/>
            <w:r/>
          </w:p>
        </w:tc>
      </w:tr>
      <w:tr>
        <w:trPr>
          <w:trHeight w:val="301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ЗДРАВООХРАНЕНИЯ НОВОСИБИРСКОЙ ОБЛАСТИ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</w:pPr>
            <w:r/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</w:pPr>
            <w:r/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</w:pPr>
            <w:r/>
            <w:r/>
          </w:p>
        </w:tc>
      </w:tr>
      <w:tr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ПРИКАЗ</w:t>
            </w:r>
            <w:r/>
          </w:p>
        </w:tc>
      </w:tr>
      <w:tr>
        <w:trPr>
          <w:trHeight w:val="9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65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</w:pPr>
            <w:r>
              <w:t xml:space="preserve">г. Новосибирск</w:t>
            </w:r>
            <w:r/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W w:w="1765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</w:tbl>
    <w:p>
      <w:pPr>
        <w:pStyle w:val="694"/>
        <w:ind w:firstLine="72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/>
    </w:p>
    <w:p>
      <w:pPr>
        <w:pStyle w:val="694"/>
        <w:ind w:firstLine="72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/>
    </w:p>
    <w:p>
      <w:pPr>
        <w:pStyle w:val="694"/>
        <w:contextualSpacing/>
        <w:jc w:val="center"/>
        <w:shd w:val="clear" w:color="auto" w:fill="ffffff"/>
        <w:tabs>
          <w:tab w:val="left" w:pos="348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маршрутизации детей и сопровождающих лиц, отдыхающих в организациях отдыха детей и их оздоровления</w:t>
      </w:r>
      <w:r>
        <w:rPr>
          <w:b/>
          <w:sz w:val="28"/>
          <w:szCs w:val="28"/>
        </w:rPr>
        <w:t xml:space="preserve">, и работников указанных организаций в период </w:t>
      </w:r>
      <w:r>
        <w:rPr>
          <w:b/>
          <w:sz w:val="28"/>
          <w:szCs w:val="28"/>
        </w:rPr>
        <w:t xml:space="preserve">летней оздоровительной кампании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694"/>
        <w:contextualSpacing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94"/>
        <w:contextualSpacing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94"/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 исполнение</w:t>
      </w:r>
      <w:r>
        <w:rPr>
          <w:sz w:val="28"/>
          <w:szCs w:val="28"/>
        </w:rPr>
        <w:t xml:space="preserve"> письма Министерства здравоохранения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09.02.2023 № 15-3/И/2-1929,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Главного государственного санитарного врача Российской Федерации от 30.06.2020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(ред. от 21.03.2022)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санитарно-эпидемиологических правил СП 3.1/2.4.3598-20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</w:t>
      </w:r>
      <w:r>
        <w:rPr>
          <w:sz w:val="28"/>
          <w:szCs w:val="28"/>
        </w:rPr>
        <w:t xml:space="preserve">онавирусной инфекции (COVID-19)», </w:t>
      </w:r>
      <w:r>
        <w:rPr>
          <w:sz w:val="28"/>
          <w:szCs w:val="28"/>
        </w:rPr>
        <w:t xml:space="preserve">в целях предупреждения возникновения и распространения заболевания COVID-19 в организациях отдыха детей и их оздоровления, расположенных н</w:t>
      </w:r>
      <w:r>
        <w:rPr>
          <w:sz w:val="28"/>
          <w:szCs w:val="28"/>
        </w:rPr>
        <w:t xml:space="preserve">а территории Новосибирской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р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и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к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а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з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ы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в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а</w:t>
      </w:r>
      <w:r>
        <w:rPr>
          <w:b/>
          <w:spacing w:val="40"/>
          <w:sz w:val="28"/>
          <w:szCs w:val="28"/>
        </w:rPr>
        <w:t xml:space="preserve"> </w:t>
      </w:r>
      <w:r>
        <w:rPr>
          <w:b/>
          <w:spacing w:val="40"/>
          <w:sz w:val="28"/>
          <w:szCs w:val="28"/>
        </w:rPr>
        <w:t xml:space="preserve">ю</w:t>
      </w:r>
      <w:r>
        <w:rPr>
          <w:b/>
          <w:spacing w:val="40"/>
          <w:sz w:val="28"/>
          <w:szCs w:val="28"/>
        </w:rPr>
        <w:t xml:space="preserve">:</w:t>
      </w:r>
      <w:r>
        <w:rPr>
          <w:b/>
          <w:spacing w:val="40"/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Утвердить временную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схему маршрутизации несовершеннолетних</w:t>
      </w:r>
      <w:r>
        <w:rPr>
          <w:sz w:val="28"/>
          <w:szCs w:val="28"/>
        </w:rPr>
        <w:t xml:space="preserve">, находящихся в организациях отдыха детей и их оздоровления на территории Новосибирской области, </w:t>
      </w:r>
      <w:r>
        <w:rPr>
          <w:sz w:val="28"/>
          <w:szCs w:val="28"/>
        </w:rPr>
        <w:t xml:space="preserve">при наличии показаний для госпитализации </w:t>
      </w:r>
      <w:r>
        <w:rPr>
          <w:sz w:val="28"/>
          <w:szCs w:val="28"/>
        </w:rPr>
        <w:t xml:space="preserve">в случае выявления у них острых респираторных заболеваний</w:t>
      </w:r>
      <w:r>
        <w:rPr>
          <w:sz w:val="28"/>
          <w:szCs w:val="28"/>
        </w:rPr>
        <w:t xml:space="preserve">, в том числе в случае подозрения на наличи</w:t>
      </w:r>
      <w:r>
        <w:rPr>
          <w:sz w:val="28"/>
          <w:szCs w:val="28"/>
        </w:rPr>
        <w:t xml:space="preserve">е новой коронавирусной инфекции</w:t>
      </w:r>
      <w:r>
        <w:rPr>
          <w:sz w:val="28"/>
          <w:szCs w:val="28"/>
        </w:rPr>
        <w:t xml:space="preserve"> (далее – Маршрутизация)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Главным врачам государственных медицинских учреждений, подведомственных министерству здравоохранения Новосибирской области</w:t>
      </w:r>
      <w:r>
        <w:rPr>
          <w:sz w:val="28"/>
          <w:szCs w:val="28"/>
        </w:rPr>
        <w:t xml:space="preserve">, осуществляющим оказание медицинской </w:t>
      </w:r>
      <w:r>
        <w:rPr>
          <w:sz w:val="28"/>
          <w:szCs w:val="28"/>
        </w:rPr>
        <w:t xml:space="preserve">помощи несовершеннолетним в период </w:t>
      </w:r>
      <w:r>
        <w:rPr>
          <w:sz w:val="28"/>
          <w:szCs w:val="28"/>
        </w:rPr>
        <w:t xml:space="preserve">летней оздоровительной кампании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</w:t>
      </w:r>
      <w:r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министерства здравоохранения Новосибирской области, Управления </w:t>
      </w:r>
      <w:r>
        <w:rPr>
          <w:sz w:val="28"/>
          <w:szCs w:val="28"/>
        </w:rPr>
        <w:t xml:space="preserve">Федеральной службы по надзору в сфере защиты прав потребителей и благополучия </w:t>
      </w:r>
      <w:r>
        <w:rPr>
          <w:sz w:val="28"/>
          <w:szCs w:val="28"/>
        </w:rPr>
        <w:t xml:space="preserve">человека по Новосибирской области от 04.08.2022 № 2409/799-П-2022 «</w:t>
      </w:r>
      <w:r>
        <w:rPr>
          <w:sz w:val="28"/>
          <w:szCs w:val="28"/>
        </w:rPr>
        <w:t xml:space="preserve">Об организации отдыха детей и их оздоровления в период летней оздоровительной кампании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оказать содействие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своевременно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 качественно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медицинско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персонала, направляемого на работу в лагеря, в соответствии с требованиями приказа Министерства здравоохранения Российской Федерации </w:t>
      </w:r>
      <w:r>
        <w:rPr>
          <w:sz w:val="28"/>
          <w:szCs w:val="28"/>
        </w:rPr>
        <w:t xml:space="preserve">от 28.01.2021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</w:t>
      </w:r>
      <w:r>
        <w:rPr>
          <w:sz w:val="28"/>
          <w:szCs w:val="28"/>
        </w:rPr>
        <w:t xml:space="preserve">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</w:t>
      </w:r>
      <w:r>
        <w:rPr>
          <w:sz w:val="28"/>
          <w:szCs w:val="28"/>
        </w:rPr>
        <w:t xml:space="preserve">иодические медицинские осмотры»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риказ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труда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988н, Министерства здравоохранения Российской Федерации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1420н от 31.12.2020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</w:t>
      </w:r>
      <w:r>
        <w:rPr>
          <w:sz w:val="28"/>
          <w:szCs w:val="28"/>
        </w:rPr>
        <w:t xml:space="preserve">риодические медицинские осмотры», </w:t>
      </w:r>
      <w:r>
        <w:rPr>
          <w:sz w:val="28"/>
          <w:szCs w:val="28"/>
        </w:rPr>
        <w:t xml:space="preserve">на основании списков, предоставленных руководителем лагеря,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договора об оказании медицинских услуг на возмездной основе между руководителем лагеря и медицинской организацией, с выделением отдельных дней для проведения медицинских обследований;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осуществлять профилактику клещевого энцефалита и клещевого боррелиоза среди детей, направляемых в организации отдых детей и их оздоровления, особенно расположенные в лесной местности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оказа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укомплектовании загородных лагерей медицинскими работниками (врачом и медицинской сестрой) на основании заявок руководителей загородных лагерей</w:t>
      </w:r>
      <w:r>
        <w:rPr>
          <w:sz w:val="28"/>
          <w:szCs w:val="28"/>
        </w:rPr>
        <w:t xml:space="preserve"> с учетом круглосуточной работы;</w:t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 xml:space="preserve">выдачу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едицинской справки о состоянии здоровья ребенка, отъезжающего в организацию</w:t>
      </w:r>
      <w:r>
        <w:rPr>
          <w:sz w:val="28"/>
          <w:szCs w:val="28"/>
        </w:rPr>
        <w:t xml:space="preserve"> отдыха детей и их оздоровления, </w:t>
      </w:r>
      <w:r>
        <w:rPr>
          <w:sz w:val="28"/>
          <w:szCs w:val="28"/>
        </w:rPr>
        <w:t xml:space="preserve">по форме справки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079/у</w:t>
      </w:r>
      <w:r>
        <w:rPr>
          <w:sz w:val="28"/>
          <w:szCs w:val="28"/>
        </w:rPr>
        <w:t xml:space="preserve"> и справки об отсутствии контакта с инфекционными больными, в том числе по COVID-19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ранее, </w:t>
      </w:r>
      <w:r>
        <w:rPr>
          <w:sz w:val="28"/>
          <w:szCs w:val="28"/>
        </w:rPr>
        <w:t xml:space="preserve">чем за 3 дня до отправления</w:t>
      </w:r>
      <w:r>
        <w:rPr>
          <w:sz w:val="28"/>
          <w:szCs w:val="28"/>
        </w:rPr>
        <w:t xml:space="preserve"> в организацию отдыха детей и их оздоровления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 xml:space="preserve">незамедлительное информирование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инистерства здравоохранения </w:t>
      </w:r>
      <w:r>
        <w:rPr>
          <w:sz w:val="28"/>
          <w:szCs w:val="28"/>
        </w:rPr>
        <w:t xml:space="preserve">Новосибирской области, в том числе </w:t>
      </w:r>
      <w:r>
        <w:rPr>
          <w:sz w:val="28"/>
          <w:szCs w:val="28"/>
        </w:rPr>
        <w:t xml:space="preserve">в электронном виде (VipNet: Министерство здравоохранения (Хлопцева Е.В.))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 случае выявлени</w:t>
      </w:r>
      <w:r>
        <w:rPr>
          <w:sz w:val="28"/>
          <w:szCs w:val="28"/>
        </w:rPr>
        <w:t xml:space="preserve">я у детей и сопровождающих лиц, отдыхающих в о</w:t>
      </w:r>
      <w:r>
        <w:rPr>
          <w:sz w:val="28"/>
          <w:szCs w:val="28"/>
        </w:rPr>
        <w:t xml:space="preserve">рганизациях отдыха детей и их оздоровления, и работников указанных организаций острых респираторных заболеваний, в том числе в случаев подозрения на наличие новой коронавирусной инфекции COVID-19 в организациях отдыха детей и их оздоровления на территории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области в период </w:t>
      </w:r>
      <w:r>
        <w:rPr>
          <w:sz w:val="28"/>
          <w:szCs w:val="28"/>
        </w:rPr>
        <w:t xml:space="preserve">летней </w:t>
      </w:r>
      <w:r>
        <w:rPr>
          <w:sz w:val="28"/>
          <w:szCs w:val="28"/>
        </w:rPr>
        <w:t xml:space="preserve">оздоровительной кампании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госпитализацию детей и сопровождающих лиц, отдыхающих в организациях отдыха детей и их оздоровления, и работников указанных организаций с проявлениями острых респираторных </w:t>
      </w:r>
      <w:r>
        <w:rPr>
          <w:sz w:val="28"/>
          <w:szCs w:val="28"/>
        </w:rPr>
        <w:t xml:space="preserve">заболеваний, в том числе в случаях подозрения на наличие новой коронавирусной инфекции COVID-19 в соответствии с медицинскими показаниями в инфекционные отделения по месту жительства (боксированная палата) и/или в медицинские организации, в соответствии с </w:t>
      </w:r>
      <w:r>
        <w:rPr>
          <w:sz w:val="28"/>
          <w:szCs w:val="28"/>
        </w:rPr>
        <w:t xml:space="preserve">Маршрутизацие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передачу данных о детях и сопровождающих лицах, отдыхающих в организациях о</w:t>
      </w:r>
      <w:r>
        <w:rPr>
          <w:sz w:val="28"/>
          <w:szCs w:val="28"/>
        </w:rPr>
        <w:t xml:space="preserve">тдыха детей и их оздоровления, и работниках указанных организаций о выявлении у них случая новой коронавирусной инфекции COVID-19 в территориальные отделы Управления Федеральной службы по надзору в сфере защиты прав потребителей и благополучия человека по </w:t>
      </w:r>
      <w:r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области;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организовать </w:t>
      </w:r>
      <w:r>
        <w:rPr>
          <w:sz w:val="28"/>
          <w:szCs w:val="28"/>
        </w:rPr>
        <w:t xml:space="preserve">медицинское наблюдение за контактными лицами при подтверждении случая новой коронавирусной инфекции COVID-19 в организациях отдыха детей и их оздоровления на территории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области в период оздоровительной кампании</w:t>
      </w:r>
      <w:r>
        <w:rPr>
          <w:sz w:val="28"/>
          <w:szCs w:val="28"/>
        </w:rPr>
        <w:t xml:space="preserve"> на дому или в местах временного пребывания пациентов;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</w:t>
      </w:r>
      <w:r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 xml:space="preserve">31.05.202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информаци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об ответственных лицах по взаимодействию с организациями отдыха детей и их оздоровления по организации медицинской помощи </w:t>
      </w:r>
      <w:r>
        <w:rPr>
          <w:sz w:val="28"/>
          <w:szCs w:val="28"/>
        </w:rPr>
        <w:t xml:space="preserve">детям и</w:t>
      </w:r>
      <w:r>
        <w:rPr>
          <w:sz w:val="28"/>
          <w:szCs w:val="28"/>
        </w:rPr>
        <w:t xml:space="preserve"> сопровождающим лицам, отдыхающим в организациях отдыха детей и их оздоровления, и работникам указанных организаций в случае выявления у них острых респираторных заболеваний, в том числе в случае подозрения на наличие новой коронавирусной инфекции COVID-19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отдел организации медицинской помощи детям </w:t>
      </w:r>
      <w:r>
        <w:rPr>
          <w:sz w:val="28"/>
          <w:szCs w:val="28"/>
        </w:rPr>
        <w:t xml:space="preserve">и службы родовспоможения м</w:t>
      </w:r>
      <w:r>
        <w:rPr>
          <w:sz w:val="28"/>
          <w:szCs w:val="28"/>
        </w:rPr>
        <w:t xml:space="preserve">инистерства здравоохранения 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 области (с </w:t>
      </w:r>
      <w:r>
        <w:rPr>
          <w:sz w:val="28"/>
          <w:szCs w:val="28"/>
        </w:rPr>
        <w:t xml:space="preserve">указанием Ф.И.О. ответственного лица, должности, телефона) на электронный адрес: </w:t>
      </w:r>
      <w:r>
        <w:rPr>
          <w:sz w:val="28"/>
          <w:szCs w:val="28"/>
          <w:lang w:val="en-US"/>
        </w:rPr>
        <w:t xml:space="preserve">hev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nso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, копию в адрес руководителей </w:t>
      </w:r>
      <w:r>
        <w:rPr>
          <w:sz w:val="28"/>
          <w:szCs w:val="28"/>
        </w:rPr>
        <w:t xml:space="preserve">закрепленных </w:t>
      </w:r>
      <w:r>
        <w:rPr>
          <w:sz w:val="28"/>
          <w:szCs w:val="28"/>
        </w:rPr>
        <w:t xml:space="preserve">организаций отдыха детей и их оздоровления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в срок до </w:t>
      </w:r>
      <w:r>
        <w:rPr>
          <w:sz w:val="28"/>
          <w:szCs w:val="28"/>
        </w:rPr>
        <w:t xml:space="preserve">31.</w:t>
      </w:r>
      <w:r>
        <w:rPr>
          <w:sz w:val="28"/>
          <w:szCs w:val="28"/>
        </w:rPr>
        <w:t xml:space="preserve">05.202</w:t>
      </w:r>
      <w:r>
        <w:rPr>
          <w:sz w:val="28"/>
          <w:szCs w:val="28"/>
        </w:rPr>
        <w:t xml:space="preserve">3 довести до сведения руководителей организаций отдыха детей и их оздоровления памятку вожатому по профилактике и раннему выявлению новой коронавирусной инфекции,</w:t>
      </w:r>
      <w:r>
        <w:rPr>
          <w:sz w:val="28"/>
          <w:szCs w:val="28"/>
        </w:rPr>
        <w:t xml:space="preserve"> разработанную Министерством здрав</w:t>
      </w:r>
      <w:r>
        <w:rPr>
          <w:sz w:val="28"/>
          <w:szCs w:val="28"/>
        </w:rPr>
        <w:t xml:space="preserve">оохранения Ро</w:t>
      </w:r>
      <w:r>
        <w:rPr>
          <w:sz w:val="28"/>
          <w:szCs w:val="28"/>
        </w:rPr>
        <w:t xml:space="preserve">ссийской Федерации (приложение);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в срок до </w:t>
      </w:r>
      <w:r>
        <w:rPr>
          <w:sz w:val="28"/>
          <w:szCs w:val="28"/>
        </w:rPr>
        <w:t xml:space="preserve">31.05.2023</w:t>
      </w:r>
      <w:r>
        <w:rPr>
          <w:sz w:val="28"/>
          <w:szCs w:val="28"/>
        </w:rPr>
        <w:t xml:space="preserve"> обеспечить инфо</w:t>
      </w:r>
      <w:r>
        <w:rPr>
          <w:sz w:val="28"/>
          <w:szCs w:val="28"/>
        </w:rPr>
        <w:t xml:space="preserve">рмирование руководителей организаций отдыха детей и их оздоровления о номерах телефонах для вызова бригады скорой медицинской помощи и о медицинских организациях, в которые будут осуществляться экстренные госпитализации больных детей в период летней оздоро</w:t>
      </w:r>
      <w:r>
        <w:rPr>
          <w:sz w:val="28"/>
          <w:szCs w:val="28"/>
        </w:rPr>
        <w:t xml:space="preserve">вительной кампании 2023 года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о</w:t>
      </w:r>
      <w:r>
        <w:rPr>
          <w:sz w:val="28"/>
          <w:szCs w:val="28"/>
        </w:rPr>
        <w:t xml:space="preserve">казывать содействие, организационно-методическую и практическую помощь по вопросам подготовки медицинских пунктов организаций отдыха детей и их оздоровления, уком</w:t>
      </w:r>
      <w:r>
        <w:rPr>
          <w:sz w:val="28"/>
          <w:szCs w:val="28"/>
        </w:rPr>
        <w:t xml:space="preserve">плектованности их медицинскими работниками</w:t>
      </w:r>
      <w:r>
        <w:rPr>
          <w:sz w:val="28"/>
          <w:szCs w:val="28"/>
        </w:rPr>
        <w:t xml:space="preserve">, согласно курации.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Главным врачам государственных медицинских учреждений, подведомственных министерству здравоохранения Новос</w:t>
      </w:r>
      <w:r>
        <w:rPr>
          <w:sz w:val="28"/>
          <w:szCs w:val="28"/>
        </w:rPr>
        <w:t xml:space="preserve">ибирской области, оказывающим медицинскую помо</w:t>
      </w:r>
      <w:r>
        <w:rPr>
          <w:sz w:val="28"/>
          <w:szCs w:val="28"/>
        </w:rPr>
        <w:t xml:space="preserve">щь в стационарных условиях, </w:t>
      </w:r>
      <w:r>
        <w:rPr>
          <w:sz w:val="28"/>
          <w:szCs w:val="28"/>
        </w:rPr>
        <w:t xml:space="preserve">обеспечить прием и госпитализацию </w:t>
      </w:r>
      <w:r>
        <w:rPr>
          <w:sz w:val="28"/>
          <w:szCs w:val="28"/>
        </w:rPr>
        <w:t xml:space="preserve">детей и сопровождающих лиц, отдыхающих</w:t>
      </w:r>
      <w:r>
        <w:rPr>
          <w:sz w:val="28"/>
          <w:szCs w:val="28"/>
        </w:rPr>
        <w:t xml:space="preserve"> в организациях отдыха детей и их оздоровления, и работников указанных организаций с проявлениями острых респираторных заболеваний, в том числе в случаях подозрения на наличие новой коронавирусной инфекции COVID-19 в соответствии с медицинскими показаниями</w:t>
      </w:r>
      <w:r>
        <w:rPr>
          <w:sz w:val="28"/>
          <w:szCs w:val="28"/>
        </w:rPr>
        <w:t xml:space="preserve"> в соответствии с Маршрутизацией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Главн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врач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учреждения здравоохранения Новосибирской области «Детская городская клиническая больница № 3» </w:t>
      </w:r>
      <w:r>
        <w:rPr>
          <w:sz w:val="28"/>
          <w:szCs w:val="28"/>
        </w:rPr>
        <w:t xml:space="preserve">Комиссаровой </w:t>
      </w:r>
      <w:r>
        <w:rPr>
          <w:sz w:val="28"/>
          <w:szCs w:val="28"/>
        </w:rPr>
        <w:t xml:space="preserve">Т.В. о</w:t>
      </w:r>
      <w:r>
        <w:rPr>
          <w:sz w:val="28"/>
          <w:szCs w:val="28"/>
        </w:rPr>
        <w:t xml:space="preserve">беспечить организацию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резервные мест на случай экстренной госпитализации больных детей в период летней оздоровительной кампании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/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исполнением настоящего приказа возложить на заместителя министра здравоохранения Новосибирской области </w:t>
      </w:r>
      <w:r>
        <w:rPr>
          <w:sz w:val="28"/>
          <w:szCs w:val="28"/>
        </w:rPr>
        <w:t xml:space="preserve">Анохину Т.Ю.</w:t>
      </w:r>
      <w:r>
        <w:rPr>
          <w:sz w:val="28"/>
          <w:szCs w:val="28"/>
        </w:rPr>
      </w:r>
      <w:r/>
    </w:p>
    <w:p>
      <w:pPr>
        <w:pStyle w:val="694"/>
        <w:contextualSpacing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535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9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694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Хальзов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Е.В. </w:t>
      </w:r>
      <w:r>
        <w:rPr>
          <w:sz w:val="20"/>
          <w:szCs w:val="20"/>
        </w:rPr>
        <w:t xml:space="preserve">Хлопцева </w:t>
      </w:r>
      <w:r/>
    </w:p>
    <w:p>
      <w:pPr>
        <w:pStyle w:val="694"/>
        <w:contextualSpacing/>
        <w:jc w:val="both"/>
        <w:shd w:val="clear" w:color="auto" w:fill="ffffff"/>
        <w:widowControl w:val="off"/>
        <w:rPr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97" w:footer="340" w:gutter="0"/>
          <w:cols w:num="1" w:sep="0" w:space="720" w:equalWidth="1"/>
          <w:docGrid w:linePitch="360"/>
          <w:titlePg/>
        </w:sectPr>
      </w:pPr>
      <w:r>
        <w:rPr>
          <w:sz w:val="20"/>
          <w:szCs w:val="20"/>
        </w:rPr>
        <w:t xml:space="preserve">(383) </w:t>
      </w:r>
      <w:r>
        <w:rPr>
          <w:sz w:val="20"/>
          <w:szCs w:val="20"/>
        </w:rPr>
        <w:t xml:space="preserve">238 62 66</w:t>
      </w:r>
      <w:r>
        <w:rPr>
          <w:sz w:val="20"/>
          <w:szCs w:val="20"/>
        </w:rPr>
        <w:tab/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4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11"/>
      <w:headerReference w:type="even" r:id="rId12"/>
      <w:footerReference w:type="even" r:id="rId13"/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rStyle w:val="718"/>
      </w:rPr>
      <w:framePr w:wrap="around" w:vAnchor="text" w:hAnchor="margin" w:xAlign="right" w:y="1"/>
    </w:pPr>
    <w:r>
      <w:rPr>
        <w:rStyle w:val="718"/>
      </w:rPr>
      <w:fldChar w:fldCharType="begin"/>
    </w:r>
    <w:r>
      <w:rPr>
        <w:rStyle w:val="718"/>
      </w:rPr>
      <w:instrText xml:space="preserve">PAGE  </w:instrText>
    </w:r>
    <w:r>
      <w:rPr>
        <w:rStyle w:val="718"/>
      </w:rPr>
      <w:fldChar w:fldCharType="end"/>
    </w:r>
    <w:r>
      <w:rPr>
        <w:rStyle w:val="718"/>
      </w:rPr>
    </w:r>
    <w:r/>
  </w:p>
  <w:p>
    <w:pPr>
      <w:pStyle w:val="717"/>
      <w:ind w:right="360" w:firstLine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/>
    <w:r/>
  </w:p>
  <w:p>
    <w:pPr>
      <w:pStyle w:val="7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rPr>
        <w:rStyle w:val="718"/>
      </w:rPr>
      <w:framePr w:wrap="around" w:vAnchor="text" w:hAnchor="margin" w:xAlign="center" w:y="1"/>
    </w:pPr>
    <w:r>
      <w:rPr>
        <w:rStyle w:val="718"/>
      </w:rPr>
      <w:fldChar w:fldCharType="begin"/>
    </w:r>
    <w:r>
      <w:rPr>
        <w:rStyle w:val="718"/>
      </w:rPr>
      <w:instrText xml:space="preserve">PAGE  </w:instrText>
    </w:r>
    <w:r>
      <w:rPr>
        <w:rStyle w:val="718"/>
      </w:rPr>
      <w:fldChar w:fldCharType="end"/>
    </w:r>
    <w:r>
      <w:rPr>
        <w:rStyle w:val="718"/>
      </w:rPr>
    </w:r>
    <w:r/>
  </w:p>
  <w:p>
    <w:pPr>
      <w:pStyle w:val="7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94"/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pStyle w:val="694"/>
        <w:ind w:left="1429" w:hanging="720"/>
      </w:pPr>
    </w:lvl>
    <w:lvl w:ilvl="2">
      <w:start w:val="1"/>
      <w:numFmt w:val="thaiNumbers"/>
      <w:isLgl w:val="false"/>
      <w:suff w:val="tab"/>
      <w:lvlText w:val="%3)"/>
      <w:lvlJc w:val="left"/>
      <w:pPr>
        <w:pStyle w:val="694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94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94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94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94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94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94"/>
        <w:ind w:left="7832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94"/>
        <w:ind w:left="825" w:hanging="825"/>
      </w:pPr>
    </w:lvl>
    <w:lvl w:ilvl="1">
      <w:start w:val="10"/>
      <w:numFmt w:val="decimal"/>
      <w:isLgl w:val="false"/>
      <w:suff w:val="tab"/>
      <w:lvlText w:val="%1.%2."/>
      <w:lvlJc w:val="left"/>
      <w:pPr>
        <w:pStyle w:val="694"/>
        <w:ind w:left="1534" w:hanging="82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94"/>
        <w:ind w:left="2243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94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94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94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94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94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94"/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1879" w:hanging="1170"/>
        <w:tabs>
          <w:tab w:val="num" w:pos="187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694"/>
        <w:ind w:left="450" w:hanging="450"/>
      </w:pPr>
    </w:lvl>
    <w:lvl w:ilvl="1">
      <w:start w:val="1"/>
      <w:numFmt w:val="decimal"/>
      <w:isLgl w:val="false"/>
      <w:suff w:val="tab"/>
      <w:lvlText w:val="%2)"/>
      <w:lvlJc w:val="left"/>
      <w:pPr>
        <w:pStyle w:val="694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94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94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94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94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94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94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94"/>
        <w:ind w:left="7832" w:hanging="2160"/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694"/>
        <w:ind w:left="11160" w:hanging="10800"/>
        <w:tabs>
          <w:tab w:val="num" w:pos="111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94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94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94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390" w:hanging="390"/>
      </w:pPr>
    </w:lvl>
    <w:lvl w:ilvl="1">
      <w:start w:val="1"/>
      <w:numFmt w:val="decimal"/>
      <w:isLgl w:val="false"/>
      <w:suff w:val="tab"/>
      <w:lvlText w:val="%2)"/>
      <w:lvlJc w:val="left"/>
      <w:pPr>
        <w:pStyle w:val="694"/>
        <w:ind w:left="1429" w:hanging="720"/>
      </w:pPr>
    </w:lvl>
    <w:lvl w:ilvl="2">
      <w:start w:val="1"/>
      <w:numFmt w:val="thaiNumbers"/>
      <w:isLgl w:val="false"/>
      <w:suff w:val="tab"/>
      <w:lvlText w:val="%3)"/>
      <w:lvlJc w:val="left"/>
      <w:pPr>
        <w:pStyle w:val="694"/>
        <w:ind w:left="2138" w:hanging="720"/>
      </w:pPr>
      <w:rPr>
        <w:b w:val="0"/>
        <w:sz w:val="28"/>
        <w:szCs w:val="28"/>
      </w:rPr>
    </w:lvl>
    <w:lvl w:ilvl="3">
      <w:start w:val="1"/>
      <w:numFmt w:val="bullet"/>
      <w:isLgl w:val="false"/>
      <w:suff w:val="tab"/>
      <w:lvlText w:val=""/>
      <w:lvlJc w:val="left"/>
      <w:pPr>
        <w:pStyle w:val="694"/>
        <w:ind w:left="3207" w:hanging="1080"/>
      </w:pPr>
      <w:rPr>
        <w:rFonts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94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94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94"/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94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94"/>
        <w:ind w:left="7472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</w:pPr>
    </w:lvl>
  </w:abstractNum>
  <w:num w:numId="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4"/>
    <w:next w:val="69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next w:val="694"/>
    <w:link w:val="694"/>
    <w:qFormat/>
    <w:rPr>
      <w:sz w:val="24"/>
      <w:szCs w:val="24"/>
      <w:lang w:val="ru-RU" w:eastAsia="ru-RU" w:bidi="ar-SA"/>
    </w:rPr>
  </w:style>
  <w:style w:type="paragraph" w:styleId="695">
    <w:name w:val="Заголовок 1"/>
    <w:basedOn w:val="694"/>
    <w:next w:val="694"/>
    <w:link w:val="69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6">
    <w:name w:val="Заголовок 2"/>
    <w:basedOn w:val="694"/>
    <w:next w:val="694"/>
    <w:link w:val="694"/>
    <w:qFormat/>
    <w:pPr>
      <w:ind w:right="27"/>
      <w:jc w:val="center"/>
      <w:keepNext/>
      <w:outlineLvl w:val="1"/>
    </w:pPr>
    <w:rPr>
      <w:b/>
      <w:bCs/>
      <w:sz w:val="32"/>
    </w:rPr>
  </w:style>
  <w:style w:type="paragraph" w:styleId="697">
    <w:name w:val="Заголовок 3"/>
    <w:basedOn w:val="694"/>
    <w:next w:val="694"/>
    <w:link w:val="69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98">
    <w:name w:val="Заголовок 4"/>
    <w:basedOn w:val="694"/>
    <w:next w:val="694"/>
    <w:link w:val="694"/>
    <w:qFormat/>
    <w:pPr>
      <w:ind w:firstLine="720"/>
      <w:jc w:val="both"/>
      <w:keepNext/>
      <w:spacing w:line="360" w:lineRule="auto"/>
      <w:outlineLvl w:val="3"/>
    </w:pPr>
    <w:rPr>
      <w:sz w:val="28"/>
      <w:szCs w:val="20"/>
    </w:rPr>
  </w:style>
  <w:style w:type="paragraph" w:styleId="699">
    <w:name w:val="Заголовок 5"/>
    <w:basedOn w:val="694"/>
    <w:next w:val="694"/>
    <w:link w:val="694"/>
    <w:qFormat/>
    <w:pPr>
      <w:keepNext/>
      <w:outlineLvl w:val="4"/>
    </w:pPr>
    <w:rPr>
      <w:sz w:val="28"/>
      <w:szCs w:val="20"/>
    </w:rPr>
  </w:style>
  <w:style w:type="character" w:styleId="700">
    <w:name w:val="Основной шрифт абзаца"/>
    <w:next w:val="700"/>
    <w:link w:val="694"/>
    <w:semiHidden/>
  </w:style>
  <w:style w:type="table" w:styleId="701">
    <w:name w:val="Обычная таблица"/>
    <w:next w:val="701"/>
    <w:link w:val="694"/>
    <w:semiHidden/>
    <w:tblPr/>
  </w:style>
  <w:style w:type="numbering" w:styleId="702">
    <w:name w:val="Нет списка"/>
    <w:next w:val="702"/>
    <w:link w:val="694"/>
    <w:semiHidden/>
  </w:style>
  <w:style w:type="character" w:styleId="703">
    <w:name w:val="Гиперссылка"/>
    <w:next w:val="703"/>
    <w:link w:val="694"/>
    <w:rPr>
      <w:color w:val="0000ff"/>
      <w:u w:val="single"/>
    </w:rPr>
  </w:style>
  <w:style w:type="paragraph" w:styleId="704">
    <w:name w:val="Обычный (веб)"/>
    <w:basedOn w:val="694"/>
    <w:next w:val="704"/>
    <w:link w:val="694"/>
    <w:pPr>
      <w:spacing w:before="100" w:beforeAutospacing="1" w:after="100" w:afterAutospacing="1"/>
    </w:pPr>
    <w:rPr>
      <w:color w:val="000000"/>
    </w:rPr>
  </w:style>
  <w:style w:type="paragraph" w:styleId="705">
    <w:name w:val="Верхний колонтитул"/>
    <w:basedOn w:val="694"/>
    <w:next w:val="705"/>
    <w:link w:val="736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706">
    <w:name w:val="Основной текст"/>
    <w:basedOn w:val="694"/>
    <w:next w:val="706"/>
    <w:link w:val="694"/>
    <w:pPr>
      <w:jc w:val="right"/>
    </w:pPr>
    <w:rPr>
      <w:sz w:val="28"/>
    </w:rPr>
  </w:style>
  <w:style w:type="paragraph" w:styleId="707">
    <w:name w:val="Основной текст с отступом"/>
    <w:basedOn w:val="694"/>
    <w:next w:val="707"/>
    <w:link w:val="726"/>
    <w:pPr>
      <w:ind w:left="283"/>
      <w:spacing w:after="120"/>
    </w:pPr>
  </w:style>
  <w:style w:type="paragraph" w:styleId="708">
    <w:name w:val="Подзаголовок"/>
    <w:basedOn w:val="694"/>
    <w:next w:val="708"/>
    <w:link w:val="694"/>
    <w:qFormat/>
    <w:pPr>
      <w:ind w:right="27"/>
      <w:jc w:val="center"/>
    </w:pPr>
    <w:rPr>
      <w:b/>
      <w:sz w:val="28"/>
    </w:rPr>
  </w:style>
  <w:style w:type="paragraph" w:styleId="709">
    <w:name w:val="Заголовок записки"/>
    <w:basedOn w:val="694"/>
    <w:next w:val="694"/>
    <w:link w:val="694"/>
    <w:pPr>
      <w:jc w:val="both"/>
    </w:pPr>
    <w:rPr>
      <w:szCs w:val="20"/>
    </w:rPr>
  </w:style>
  <w:style w:type="paragraph" w:styleId="710">
    <w:name w:val="FR2"/>
    <w:next w:val="710"/>
    <w:link w:val="694"/>
    <w:pPr>
      <w:ind w:left="360"/>
      <w:spacing w:before="760"/>
      <w:widowControl w:val="off"/>
    </w:pPr>
    <w:rPr>
      <w:rFonts w:ascii="Arial" w:hAnsi="Arial"/>
      <w:lang w:val="ru-RU" w:eastAsia="ru-RU" w:bidi="ar-SA"/>
    </w:rPr>
  </w:style>
  <w:style w:type="paragraph" w:styleId="711">
    <w:name w:val="ConsPlusNormal"/>
    <w:next w:val="711"/>
    <w:link w:val="69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12">
    <w:name w:val="ConsPlusNonformat"/>
    <w:next w:val="712"/>
    <w:link w:val="69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3">
    <w:name w:val="ConsPlusTitle"/>
    <w:next w:val="713"/>
    <w:link w:val="69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14">
    <w:name w:val="ConsPlusCell"/>
    <w:next w:val="714"/>
    <w:link w:val="694"/>
    <w:pPr>
      <w:widowControl w:val="off"/>
    </w:pPr>
    <w:rPr>
      <w:rFonts w:ascii="Arial" w:hAnsi="Arial"/>
      <w:lang w:val="ru-RU" w:eastAsia="ru-RU" w:bidi="ar-SA"/>
    </w:rPr>
  </w:style>
  <w:style w:type="table" w:styleId="715">
    <w:name w:val="Сетка таблицы"/>
    <w:basedOn w:val="701"/>
    <w:next w:val="715"/>
    <w:link w:val="694"/>
    <w:uiPriority w:val="59"/>
    <w:tblPr/>
  </w:style>
  <w:style w:type="paragraph" w:styleId="716">
    <w:name w:val="Текст выноски"/>
    <w:basedOn w:val="694"/>
    <w:next w:val="716"/>
    <w:link w:val="694"/>
    <w:semiHidden/>
    <w:rPr>
      <w:rFonts w:ascii="Tahoma" w:hAnsi="Tahoma" w:cs="Tahoma"/>
      <w:sz w:val="16"/>
      <w:szCs w:val="16"/>
    </w:rPr>
  </w:style>
  <w:style w:type="paragraph" w:styleId="717">
    <w:name w:val="Нижний колонтитул"/>
    <w:basedOn w:val="694"/>
    <w:next w:val="717"/>
    <w:link w:val="724"/>
    <w:uiPriority w:val="99"/>
    <w:pPr>
      <w:tabs>
        <w:tab w:val="center" w:pos="4677" w:leader="none"/>
        <w:tab w:val="right" w:pos="9355" w:leader="none"/>
      </w:tabs>
    </w:pPr>
  </w:style>
  <w:style w:type="character" w:styleId="718">
    <w:name w:val="Номер страницы"/>
    <w:basedOn w:val="700"/>
    <w:next w:val="718"/>
    <w:link w:val="694"/>
  </w:style>
  <w:style w:type="paragraph" w:styleId="719">
    <w:name w:val="Основной текст с отступом 3"/>
    <w:basedOn w:val="694"/>
    <w:next w:val="719"/>
    <w:link w:val="694"/>
    <w:pPr>
      <w:ind w:left="283"/>
      <w:spacing w:after="120"/>
    </w:pPr>
    <w:rPr>
      <w:sz w:val="16"/>
      <w:szCs w:val="16"/>
    </w:rPr>
  </w:style>
  <w:style w:type="paragraph" w:styleId="720">
    <w:name w:val="Основной текст с отступом 2"/>
    <w:basedOn w:val="694"/>
    <w:next w:val="720"/>
    <w:link w:val="694"/>
    <w:pPr>
      <w:ind w:left="720" w:hanging="11"/>
      <w:jc w:val="both"/>
      <w:spacing w:line="360" w:lineRule="auto"/>
    </w:pPr>
    <w:rPr>
      <w:sz w:val="28"/>
      <w:szCs w:val="20"/>
    </w:rPr>
  </w:style>
  <w:style w:type="paragraph" w:styleId="721">
    <w:name w:val="Основной текст 2"/>
    <w:basedOn w:val="694"/>
    <w:next w:val="721"/>
    <w:link w:val="694"/>
    <w:pPr>
      <w:spacing w:after="120" w:line="480" w:lineRule="auto"/>
    </w:pPr>
    <w:rPr>
      <w:sz w:val="20"/>
      <w:szCs w:val="20"/>
    </w:rPr>
  </w:style>
  <w:style w:type="character" w:styleId="722">
    <w:name w:val="Название Знак"/>
    <w:next w:val="722"/>
    <w:link w:val="723"/>
    <w:rPr>
      <w:b/>
      <w:sz w:val="22"/>
      <w:lang w:val="ru-RU" w:eastAsia="ru-RU" w:bidi="ar-SA"/>
    </w:rPr>
  </w:style>
  <w:style w:type="paragraph" w:styleId="723">
    <w:name w:val="Название"/>
    <w:basedOn w:val="694"/>
    <w:next w:val="723"/>
    <w:link w:val="722"/>
    <w:qFormat/>
    <w:pPr>
      <w:jc w:val="center"/>
    </w:pPr>
    <w:rPr>
      <w:b/>
      <w:sz w:val="22"/>
      <w:szCs w:val="20"/>
    </w:rPr>
  </w:style>
  <w:style w:type="character" w:styleId="724">
    <w:name w:val="Нижний колонтитул Знак"/>
    <w:next w:val="724"/>
    <w:link w:val="717"/>
    <w:uiPriority w:val="99"/>
    <w:rPr>
      <w:sz w:val="24"/>
      <w:szCs w:val="24"/>
    </w:rPr>
  </w:style>
  <w:style w:type="paragraph" w:styleId="725">
    <w:name w:val="Без интервала"/>
    <w:next w:val="725"/>
    <w:link w:val="694"/>
    <w:qFormat/>
    <w:pPr>
      <w:jc w:val="both"/>
    </w:pPr>
    <w:rPr>
      <w:rFonts w:eastAsia="Calibri"/>
      <w:sz w:val="24"/>
      <w:lang w:val="ru-RU" w:eastAsia="en-US" w:bidi="ar-SA"/>
    </w:rPr>
  </w:style>
  <w:style w:type="character" w:styleId="726">
    <w:name w:val="Основной текст с отступом Знак"/>
    <w:next w:val="726"/>
    <w:link w:val="707"/>
    <w:rPr>
      <w:sz w:val="24"/>
      <w:szCs w:val="24"/>
    </w:rPr>
  </w:style>
  <w:style w:type="paragraph" w:styleId="727">
    <w:name w:val="Абзац списка"/>
    <w:basedOn w:val="694"/>
    <w:next w:val="727"/>
    <w:link w:val="694"/>
    <w:uiPriority w:val="34"/>
    <w:qFormat/>
    <w:pPr>
      <w:contextualSpacing/>
      <w:ind w:left="720"/>
    </w:pPr>
    <w:rPr>
      <w:sz w:val="20"/>
      <w:szCs w:val="20"/>
    </w:rPr>
  </w:style>
  <w:style w:type="character" w:styleId="728">
    <w:name w:val="Сноска_"/>
    <w:next w:val="728"/>
    <w:link w:val="730"/>
    <w:rPr>
      <w:shd w:val="clear" w:color="auto" w:fill="ffffff"/>
    </w:rPr>
  </w:style>
  <w:style w:type="character" w:styleId="729">
    <w:name w:val="Сноска + 9;5 pt"/>
    <w:next w:val="729"/>
    <w:link w:val="694"/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paragraph" w:styleId="730">
    <w:name w:val="Сноска"/>
    <w:basedOn w:val="694"/>
    <w:next w:val="730"/>
    <w:link w:val="728"/>
    <w:pPr>
      <w:jc w:val="both"/>
      <w:spacing w:line="230" w:lineRule="exact"/>
      <w:shd w:val="clear" w:color="auto" w:fill="ffffff"/>
      <w:widowControl w:val="off"/>
    </w:pPr>
    <w:rPr>
      <w:sz w:val="20"/>
      <w:szCs w:val="20"/>
    </w:rPr>
  </w:style>
  <w:style w:type="character" w:styleId="731">
    <w:name w:val="Основной текст_"/>
    <w:next w:val="731"/>
    <w:link w:val="735"/>
    <w:rPr>
      <w:sz w:val="36"/>
      <w:szCs w:val="36"/>
      <w:shd w:val="clear" w:color="auto" w:fill="ffffff"/>
    </w:rPr>
  </w:style>
  <w:style w:type="character" w:styleId="732">
    <w:name w:val="Основной текст + 15 pt"/>
    <w:next w:val="732"/>
    <w:link w:val="694"/>
    <w:rPr>
      <w:rFonts w:ascii="Times New Roman" w:hAnsi="Times New Roman" w:eastAsia="Times New Roman" w:cs="Times New Roman"/>
      <w:color w:val="000000"/>
      <w:spacing w:val="0"/>
      <w:position w:val="0"/>
      <w:sz w:val="30"/>
      <w:szCs w:val="30"/>
      <w:shd w:val="clear" w:color="auto" w:fill="ffffff"/>
      <w:lang w:val="ru-RU"/>
    </w:rPr>
  </w:style>
  <w:style w:type="character" w:styleId="733">
    <w:name w:val="Основной текст + 10;5 pt;Интервал 1 pt"/>
    <w:next w:val="733"/>
    <w:link w:val="694"/>
    <w:rPr>
      <w:rFonts w:ascii="Times New Roman" w:hAnsi="Times New Roman" w:eastAsia="Times New Roman" w:cs="Times New Roman"/>
      <w:color w:val="000000"/>
      <w:spacing w:val="30"/>
      <w:position w:val="0"/>
      <w:sz w:val="21"/>
      <w:szCs w:val="21"/>
      <w:shd w:val="clear" w:color="auto" w:fill="ffffff"/>
      <w:lang w:val="ru-RU"/>
    </w:rPr>
  </w:style>
  <w:style w:type="character" w:styleId="734">
    <w:name w:val="Основной текст + 10;5 pt"/>
    <w:next w:val="734"/>
    <w:link w:val="694"/>
    <w:rPr>
      <w:rFonts w:ascii="Times New Roman" w:hAnsi="Times New Roman" w:eastAsia="Times New Roman" w:cs="Times New Roman"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paragraph" w:styleId="735">
    <w:name w:val="Основной текст2"/>
    <w:basedOn w:val="694"/>
    <w:next w:val="735"/>
    <w:link w:val="731"/>
    <w:pPr>
      <w:jc w:val="both"/>
      <w:spacing w:line="420" w:lineRule="exact"/>
      <w:shd w:val="clear" w:color="auto" w:fill="ffffff"/>
      <w:widowControl w:val="off"/>
    </w:pPr>
    <w:rPr>
      <w:sz w:val="36"/>
      <w:szCs w:val="36"/>
    </w:rPr>
  </w:style>
  <w:style w:type="character" w:styleId="736">
    <w:name w:val="Верхний колонтитул Знак"/>
    <w:next w:val="736"/>
    <w:link w:val="705"/>
    <w:uiPriority w:val="99"/>
    <w:rPr>
      <w:sz w:val="28"/>
      <w:szCs w:val="28"/>
    </w:rPr>
  </w:style>
  <w:style w:type="character" w:styleId="1690" w:default="1">
    <w:name w:val="Default Paragraph Font"/>
    <w:uiPriority w:val="1"/>
    <w:semiHidden/>
    <w:unhideWhenUsed/>
  </w:style>
  <w:style w:type="numbering" w:styleId="1691" w:default="1">
    <w:name w:val="No List"/>
    <w:uiPriority w:val="99"/>
    <w:semiHidden/>
    <w:unhideWhenUsed/>
  </w:style>
  <w:style w:type="table" w:styleId="16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СЛУЖБЫ ПО НАДЗОРУ В СФЕРЕ ЗАЩИТЫ ПРАВ ПОТРЕБИТЕЛЕЙ И БЛАГОПОЛУЧИЯ ЧЕЛОВЕКА ПО НОВОСИБИРСКОЙ ОБЛАСТИ</dc:title>
  <dc:creator>chelishkina</dc:creator>
  <cp:revision>6</cp:revision>
  <dcterms:created xsi:type="dcterms:W3CDTF">2022-05-23T10:58:00Z</dcterms:created>
  <dcterms:modified xsi:type="dcterms:W3CDTF">2023-05-26T03:59:05Z</dcterms:modified>
  <cp:version>1048576</cp:version>
</cp:coreProperties>
</file>