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90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№ 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«ПРИЛОЖЕНИЕ № 2.1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государственной программе Новосибирской области «Обеспечение безопасности жизнедеятельности населения Новосибирской области»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ОСНОВНЫЕ МЕРОПРИЯТИЯ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государственной программы Новосибирской области «Обеспечение безопасности жизнедеятельности населения Новосибирской области»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573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64"/>
        <w:gridCol w:w="1701"/>
        <w:gridCol w:w="567"/>
        <w:gridCol w:w="426"/>
        <w:gridCol w:w="425"/>
        <w:gridCol w:w="425"/>
        <w:gridCol w:w="1074"/>
        <w:gridCol w:w="1276"/>
        <w:gridCol w:w="1276"/>
        <w:gridCol w:w="1134"/>
        <w:gridCol w:w="1134"/>
        <w:gridCol w:w="1984"/>
        <w:gridCol w:w="2549"/>
      </w:tblGrid>
      <w:tr>
        <w:trPr/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restart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10"/>
            <w:shd w:val="clear" w:color="auto" w:fill="auto"/>
            <w:tcMar>
              <w:top w:w="57" w:type="dxa"/>
              <w:bottom w:w="57" w:type="dxa"/>
            </w:tcMar>
            <w:tcW w:w="9437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Ресурсное обеспечение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ГРБС (ответственный исполнитель)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restart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Ожидаемый результат (краткое описание)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53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Mar>
              <w:top w:w="57" w:type="dxa"/>
              <w:bottom w:w="57" w:type="dxa"/>
            </w:tcMar>
            <w:tcW w:w="1843" w:type="dxa"/>
            <w:textDirection w:val="lrTb"/>
            <w:noWrap w:val="false"/>
          </w:tcPr>
          <w:p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код бюджетной классификации</w:t>
            </w:r>
            <w:r/>
          </w:p>
        </w:tc>
        <w:tc>
          <w:tcPr>
            <w:gridSpan w:val="5"/>
            <w:shd w:val="clear" w:color="auto" w:fill="auto"/>
            <w:tcMar>
              <w:top w:w="57" w:type="dxa"/>
              <w:bottom w:w="57" w:type="dxa"/>
            </w:tcMar>
            <w:tcW w:w="5893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годам реализации, тыс. рублей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502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ГРБС</w:t>
            </w:r>
            <w:r/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ГП</w:t>
            </w:r>
            <w:r/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113" w:right="-113"/>
              <w:jc w:val="center"/>
            </w:pPr>
            <w:r>
              <w:rPr>
                <w:sz w:val="22"/>
                <w:szCs w:val="22"/>
              </w:rPr>
              <w:t xml:space="preserve">пГП</w:t>
            </w:r>
            <w:r/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ОМ</w:t>
            </w:r>
            <w:r/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13"/>
            <w:tcMar>
              <w:top w:w="57" w:type="dxa"/>
              <w:bottom w:w="57" w:type="dxa"/>
            </w:tcMar>
            <w:tcW w:w="15735" w:type="dxa"/>
            <w:textDirection w:val="lrTb"/>
            <w:noWrap w:val="false"/>
          </w:tcPr>
          <w:p>
            <w:pPr>
              <w:pStyle w:val="861"/>
              <w:tabs>
                <w:tab w:val="left" w:pos="938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Цель 1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осударственной программы – обеспечение безопасности жизнедеятельности населения Новосибирской области, защита территории Новосибирской области, объектов экономики и социальной сферы от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13"/>
            <w:tcMar>
              <w:top w:w="57" w:type="dxa"/>
              <w:bottom w:w="57" w:type="dxa"/>
            </w:tcMar>
            <w:tcW w:w="15735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Задача 1.2. 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Создание условий для привлечения общественных объединений добровольной пожарной охраны Новосибирской области к тушению пожаров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53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restart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1.2.1. Содействие добровольной пожарной охране в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осуществлении функций по тушению пожаров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4585,7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544,0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2405,7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6 577,9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6 720,4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МЖКХиЭ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НСО, общественные объединения добровольной пожарной охраны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Новосибирской области, организации, выбранные на конкурсной основе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restart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2019-2023 годах будет осуществляться поддержка добровольных пожарных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дружин, которая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позволит обеспечить привлечение 100% общественных объединений добровольной пожарной охраны к тушению пожаров на территории Новосибирской области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х</w:t>
            </w:r>
            <w:r/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х</w:t>
            </w:r>
            <w:r/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х</w:t>
            </w:r>
            <w:r/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х</w:t>
            </w:r>
            <w:r/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х</w:t>
            </w:r>
            <w:r/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х</w:t>
            </w:r>
            <w:r/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х</w:t>
            </w:r>
            <w:r/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х</w:t>
            </w:r>
            <w:r/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60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небюджетные источники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х</w:t>
            </w:r>
            <w:r/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х</w:t>
            </w:r>
            <w:r/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х</w:t>
            </w:r>
            <w:r/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х</w:t>
            </w:r>
            <w:r/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597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налоговые расходы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06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06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местные бюджеты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06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06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налоговые расходы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51"/>
        </w:trPr>
        <w:tc>
          <w:tcPr>
            <w:gridSpan w:val="13"/>
            <w:tcMar>
              <w:top w:w="57" w:type="dxa"/>
              <w:bottom w:w="57" w:type="dxa"/>
            </w:tcMar>
            <w:tcW w:w="15735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Задача 1.3.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Содействие муниципальным образованиям Новосибирской области в снижении рисков и смягчении последствий чрезвычайных ситуаций природного и техногенного характера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261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22"/>
                <w:szCs w:val="22"/>
              </w:rPr>
              <w:t xml:space="preserve">1.3.1. Проведение </w:t>
            </w:r>
            <w:r>
              <w:rPr>
                <w:sz w:val="22"/>
                <w:szCs w:val="22"/>
              </w:rPr>
              <w:t xml:space="preserve">авиаоблетов</w:t>
            </w:r>
            <w:r>
              <w:rPr>
                <w:sz w:val="22"/>
                <w:szCs w:val="22"/>
              </w:rPr>
              <w:t xml:space="preserve"> по мониторингу </w:t>
            </w:r>
            <w:r>
              <w:rPr>
                <w:sz w:val="22"/>
                <w:szCs w:val="22"/>
              </w:rPr>
              <w:t xml:space="preserve">паводкоопасной</w:t>
            </w:r>
            <w:r>
              <w:rPr>
                <w:sz w:val="22"/>
                <w:szCs w:val="22"/>
              </w:rPr>
              <w:t xml:space="preserve"> обстановки на реках Новосибирской области</w:t>
            </w:r>
            <w:r/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1000,0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1000,0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663,3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0,0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МЖКХиЭ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НСО, ГКУ НСО «Центр ГО, ЧС и ПБ Новосибирской области», организации, выбранные на конкурсной основе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restar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В 2019-2</w:t>
            </w:r>
            <w:r>
              <w:rPr>
                <w:sz w:val="22"/>
                <w:szCs w:val="22"/>
              </w:rPr>
              <w:t xml:space="preserve">021, 2023 годах будут проведены </w:t>
            </w:r>
            <w:r>
              <w:rPr>
                <w:sz w:val="22"/>
                <w:szCs w:val="22"/>
              </w:rPr>
              <w:t xml:space="preserve">авиаоблеты</w:t>
            </w:r>
            <w:r>
              <w:rPr>
                <w:sz w:val="22"/>
                <w:szCs w:val="22"/>
              </w:rPr>
              <w:t xml:space="preserve"> рек Новосибирской области с целью наблюдения за складывающейся </w:t>
            </w:r>
            <w:r>
              <w:rPr>
                <w:sz w:val="22"/>
                <w:szCs w:val="22"/>
              </w:rPr>
              <w:t xml:space="preserve">паводкоопасной</w:t>
            </w:r>
            <w:r>
              <w:rPr>
                <w:sz w:val="22"/>
                <w:szCs w:val="22"/>
              </w:rPr>
              <w:t xml:space="preserve"> ситуацией</w:t>
            </w:r>
            <w:r/>
          </w:p>
        </w:tc>
      </w:tr>
      <w:tr>
        <w:trPr>
          <w:trHeight w:val="182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184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местные бюджеты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46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46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налоговые расходы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991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22"/>
                <w:szCs w:val="22"/>
              </w:rPr>
              <w:t xml:space="preserve">1.3.2. Проведение взрывных работ по ликвидации ледяных заторов и рыхлению </w:t>
            </w:r>
            <w:r>
              <w:rPr>
                <w:sz w:val="22"/>
                <w:szCs w:val="22"/>
              </w:rPr>
              <w:t xml:space="preserve">льда на реках Новосибирской области в период паводка</w:t>
            </w:r>
            <w:r/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1200,0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745,3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939,0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808,2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751,5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МЖКХиЭ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НСО, ГКУ НСО «Центр ГО, ЧС и ПБ Новосибирской области», органи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зации,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выбранные на конкурсной основе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restart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2019-2023 годах будут проведены взрывные работы по ликвидации ледяных заторов и рыхлению льда на реках Новосибирской области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целью безаварийного пропуска паводковых вод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46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46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местные бюджеты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46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46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налоговые расходы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516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restart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1.3.3. Государственная поддержка муниципальных образований Новосибирской области в осуществлении мер, направленных на защиту населения от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44 412,0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МЖКХиЭ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НСО, 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аны местного самоуправления Новосибирской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restart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2019 году будет осуществлено оснащение автономными дымовыми пожарными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извещателями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14804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жилых помещений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424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515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местные бюджеты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2337,5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1543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674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налоговые расходы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01"/>
        </w:trPr>
        <w:tc>
          <w:tcPr>
            <w:gridSpan w:val="13"/>
            <w:tcMar>
              <w:top w:w="57" w:type="dxa"/>
              <w:bottom w:w="57" w:type="dxa"/>
            </w:tcMar>
            <w:tcW w:w="15735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Задача 1.4. Обеспечение и поддержание высокой готовности сил и средств, включая ГКУ НСО «Центр ГО, ЧС и ПБ Новосибирской области», к эффективной защите населения и территории Новосибирской области от чрезвычайных ситуаций природного и техногенного характер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restart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1.4.1. Мероприятия, направленные на выполнение плана основных мероприятий государственного казенного учреждения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812 653,0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850 008,0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859 910,2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1 111 772,5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1 440 968,8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ГКУ НСО «Центр ГО, ЧС и ПБ Новосибирской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restart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результате ежегодного выполнения плана основных мероприятий ГКУ НСО «Центр ГО, ЧС и ПБ Новосибирской области» будет обеспечена готовность имеющихся сил и средств к решению задач по обеспечению безопасности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жизнедеятельности населения Новосибирской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 2021 году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будет осуществлено открытие 1 пожарного поста ГПС на территории НСО для прикрытия 5 населенных пунктов, незащищенных подразделениями ГПС в соответствии с нормами Федерального закона от 22.07.2008 № 123-ФЗ, с соответствующим увеличением штатно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й численности ГКУ НСО «Центр ГО, ЧС и ПБ Новосибирской области» на 6 единиц.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В 2023 году будет проведен ремонт 3 действующих постов.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местные бюджеты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налоговые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расходы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restart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1.4.2.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Создание резерва материальных ресурсов в целях гражданской обороны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2458,3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МЖКХиЭ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НСО, ГКУ НСО «Центр ГО, ЧС и ПБ Новосибирской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restart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 2019-2021 годах будет проводить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ся ежегодный мониторинг обеспеченности населения средствами индивидуальной защиты.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86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 2019 году в результате мероприятия по созданию резерва материальных ресурсов, в целях гражданской обороны исполнителями мероприятия было приобретено: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HAnsi"/>
                <w:sz w:val="22"/>
                <w:szCs w:val="22"/>
                <w:lang w:eastAsia="en-US"/>
              </w:rPr>
              <w:t xml:space="preserve">30 электрических тепл</w:t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lang w:eastAsia="en-US"/>
              </w:rPr>
              <w:t xml:space="preserve">овых пушек </w:t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lang w:eastAsia="en-US"/>
              </w:rPr>
              <w:t xml:space="preserve">мощностью 3 кВт, 30 электрических тепловых пушек мощностью 5 кВт, 10 электрических тепловых пушек мощностью 30 кВт, 10 осветительных комплектов (типа ОК-1), 20 </w:t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lang w:eastAsia="en-US"/>
              </w:rPr>
              <w:t xml:space="preserve">мотопомп</w:t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lang w:eastAsia="en-US"/>
              </w:rPr>
              <w:t xml:space="preserve"> (типа GP-80), 20 всасывающих рукавов (диаметром 80 мм), 20 сливных рукавов (</w:t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lang w:eastAsia="en-US"/>
              </w:rPr>
              <w:t xml:space="preserve">диаметром 80 мм), 5 удлинительных катушек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местные бюджеты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налоговые расходы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36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restart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highlight w:val="white"/>
              </w:rPr>
            </w:r>
            <w:bookmarkStart w:id="0" w:name="_GoBack"/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1.4.3 Развитие сети пожарных депо на территории Новосибирской области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124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06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7 633,2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381 790,0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192 593,9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Министерство строительства Новосибирской области, ГКУ НСО «УКС»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В рамках программы будут созданы 3 пожарных депо (1 в г. Новосибирске, 1 в р.п. Кольцово, 1 в с. 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Барышево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)</w:t>
            </w:r>
            <w:bookmarkEnd w:id="0"/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rPr>
          <w:trHeight w:val="232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32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местные бюджеты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32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32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налоговые расходы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32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restart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1.4.4. Создание резерва материальных ресурсов в целях гражданской обороны и защиты от чрезвычайных ситуаций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7 136,5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36 183,0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МЖКХиЭ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НСО, ГКУ НСО «Центр ГО, ЧС и ПБ Новосибирской области»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restart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 2022-2023 годах будет проводиться ежегодный мониторинг обеспеченности населения средствами индивидуальной защиты, на основании которого будет создан резерв материальных ресурсов в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целях гражданской обороны и защиты от чрезвычайных ситуаций.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rPr>
          <w:trHeight w:val="232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федеральный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бюджет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32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местные бюджеты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32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32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налоговые расходы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01"/>
        </w:trPr>
        <w:tc>
          <w:tcPr>
            <w:gridSpan w:val="13"/>
            <w:tcMar>
              <w:top w:w="57" w:type="dxa"/>
              <w:bottom w:w="57" w:type="dxa"/>
            </w:tcMar>
            <w:tcW w:w="15735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Задача 1.5. Обеспечение обучения должностных лиц организаций в Новосибирской области всех форм собственности вопросам гражданской обороны и защиты населения и территории от чрезвычайных ситуаций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22"/>
                <w:szCs w:val="22"/>
              </w:rPr>
              <w:t xml:space="preserve">1.5.1.</w:t>
            </w:r>
            <w:r/>
          </w:p>
          <w:p>
            <w:pPr>
              <w:widowControl w:val="off"/>
            </w:pPr>
            <w:r>
              <w:rPr>
                <w:sz w:val="22"/>
                <w:szCs w:val="22"/>
                <w:lang w:eastAsia="en-US"/>
              </w:rPr>
              <w:t xml:space="preserve">Мероприятия</w:t>
            </w:r>
            <w:r>
              <w:rPr>
                <w:sz w:val="22"/>
                <w:szCs w:val="22"/>
              </w:rPr>
              <w:t xml:space="preserve"> по обучению и повышению квалификации должностных лиц организаций Новосибирской области вопросам обеспечения безопасности жизнедеятельности</w:t>
            </w:r>
            <w:r/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15 630,4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14 807,3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15 077,4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17 164,4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19 405,5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МЖКХиЭ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НСО, ГАОУ ДПО НСО «Учебно-методичес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кий центр по гражданской обороне и чрезвычайным ситуациям Новосибирской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restart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2019-2021 годов на базе ГАОУ ДПО НСО «Учебно-методический центр по гражданской обороне и чрезвычайным ситуациям Новосибирской области» организовано обучение по прогр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аммам обеспечения безопасности жизнедеятельности не менее 3480 должностных лиц предприятий, организаций и учреждений Новосибирской области ежегодно. С 2022 по 2023 год будет организовано обучение по программам обеспечения безопасности жизнедеятельности не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менее 3400 должностных лиц предприятий, организаций и учреждений Новосибирской области ежегодно.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местные бюджеты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налоговые расходы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95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restart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государственной программе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областной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бюджет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881 939,4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874 104,6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886 628,8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1 525 249,5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1 696 623,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restart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02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248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местные бюджеты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2337,5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167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vMerge w:val="continue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167"/>
        </w:trPr>
        <w:tc>
          <w:tcPr>
            <w:shd w:val="clear" w:color="auto" w:fill="auto"/>
            <w:tcMar>
              <w:top w:w="57" w:type="dxa"/>
              <w:bottom w:w="57" w:type="dxa"/>
            </w:tcMar>
            <w:tcW w:w="1765" w:type="dxa"/>
            <w:vMerge w:val="continue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налоговые расходы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07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276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top w:w="57" w:type="dxa"/>
              <w:bottom w:w="57" w:type="dxa"/>
            </w:tcMar>
            <w:tcW w:w="113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1984" w:type="dxa"/>
            <w:textDirection w:val="lrTb"/>
            <w:noWrap w:val="false"/>
          </w:tcPr>
          <w:p>
            <w:pPr>
              <w:pStyle w:val="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top w:w="57" w:type="dxa"/>
              <w:bottom w:w="57" w:type="dxa"/>
            </w:tcMar>
            <w:tcW w:w="2549" w:type="dxa"/>
            <w:textDirection w:val="lrTb"/>
            <w:noWrap w:val="false"/>
          </w:tcPr>
          <w:p>
            <w:pPr>
              <w:pStyle w:val="86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62"/>
        <w:ind w:firstLine="709"/>
        <w:jc w:val="both"/>
        <w:spacing w:line="245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Приме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няемые сокращения: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709"/>
        <w:jc w:val="both"/>
        <w:spacing w:line="245" w:lineRule="auto"/>
        <w:rPr>
          <w:sz w:val="28"/>
          <w:szCs w:val="28"/>
        </w:rPr>
      </w:pPr>
      <w:r>
        <w:rPr>
          <w:sz w:val="28"/>
          <w:szCs w:val="28"/>
        </w:rPr>
        <w:t xml:space="preserve">ГАОУ ДПО НСО «Учебно-методический центр по гражданской обороне и чрезвычайным</w:t>
      </w:r>
      <w:r>
        <w:rPr>
          <w:sz w:val="28"/>
          <w:szCs w:val="28"/>
        </w:rPr>
        <w:t xml:space="preserve"> ситуациям Новосибирской области» – государственное автономное образовательное учреждение дополнительного профессионального образования Новосибирской области «Учебно-методический центр по гражданской обороне и чрезвычайным ситуациям Новосибирской области»;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rPr>
          <w:sz w:val="28"/>
          <w:szCs w:val="28"/>
        </w:rPr>
      </w:pPr>
      <w:r>
        <w:rPr>
          <w:sz w:val="28"/>
          <w:szCs w:val="28"/>
        </w:rPr>
        <w:t xml:space="preserve">ГКУ НСО «УКС» – государственное казенное учреждение Новосибирской области «Управление капитального строительства»;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rPr>
          <w:sz w:val="28"/>
          <w:szCs w:val="28"/>
        </w:rPr>
      </w:pPr>
      <w:r>
        <w:rPr>
          <w:sz w:val="28"/>
          <w:szCs w:val="28"/>
        </w:rPr>
        <w:t xml:space="preserve">ГКУ НСО «Центр ГО, ЧС и ПБ Новосибирской области» – государственное казенное учреждение Новосибирской области «Центр по обеспечению мероприя</w:t>
      </w:r>
      <w:r>
        <w:rPr>
          <w:sz w:val="28"/>
          <w:szCs w:val="28"/>
        </w:rPr>
        <w:t xml:space="preserve">тий в области гражданской обороны, чрезвычайных ситуаций и пожарной безопасности Новосибирской области»;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ГПС – Государственная противопожарная служба;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МЖКХиЭ</w:t>
      </w:r>
      <w:r>
        <w:rPr>
          <w:sz w:val="28"/>
          <w:szCs w:val="28"/>
        </w:rPr>
        <w:t xml:space="preserve"> НСО – министерство жилищно-коммунального хозяйства и энергетики Новосибирской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5" w:lineRule="auto"/>
        <w:rPr>
          <w:sz w:val="28"/>
          <w:szCs w:val="28"/>
        </w:rPr>
      </w:pPr>
      <w:r>
        <w:rPr>
          <w:sz w:val="28"/>
          <w:szCs w:val="28"/>
        </w:rPr>
        <w:t xml:space="preserve">Федеральный</w:t>
      </w:r>
      <w:r>
        <w:rPr>
          <w:sz w:val="28"/>
          <w:szCs w:val="28"/>
        </w:rPr>
        <w:t xml:space="preserve"> закон от 22.07.2008 № 123-ФЗ – Федеральный закон от 22.07.2008 № 123-ФЗ «Технический регламент о требованиях пожарной безопасности».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spacing w:line="245" w:lineRule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_________».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sectPr>
      <w:headerReference w:type="default" r:id="rId8"/>
      <w:footnotePr/>
      <w:endnotePr/>
      <w:type w:val="nextPage"/>
      <w:pgSz w:w="16838" w:h="11906" w:orient="landscape"/>
      <w:pgMar w:top="1418" w:right="567" w:bottom="567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58715581"/>
      <w:docPartObj>
        <w:docPartGallery w:val="Page Numbers (Top of Page)"/>
        <w:docPartUnique w:val="true"/>
      </w:docPartObj>
      <w:rPr/>
    </w:sdtPr>
    <w:sdtContent>
      <w:p>
        <w:pPr>
          <w:pStyle w:val="871"/>
          <w:jc w:val="center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6</w:t>
        </w:r>
        <w:r>
          <w:rPr>
            <w:sz w:val="20"/>
            <w:szCs w:val="20"/>
          </w:rP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Title Char"/>
    <w:basedOn w:val="681"/>
    <w:link w:val="703"/>
    <w:uiPriority w:val="10"/>
    <w:rPr>
      <w:sz w:val="48"/>
      <w:szCs w:val="48"/>
    </w:rPr>
  </w:style>
  <w:style w:type="character" w:styleId="675">
    <w:name w:val="Subtitle Char"/>
    <w:basedOn w:val="681"/>
    <w:link w:val="705"/>
    <w:uiPriority w:val="11"/>
    <w:rPr>
      <w:sz w:val="24"/>
      <w:szCs w:val="24"/>
    </w:rPr>
  </w:style>
  <w:style w:type="character" w:styleId="676">
    <w:name w:val="Quote Char"/>
    <w:link w:val="707"/>
    <w:uiPriority w:val="29"/>
    <w:rPr>
      <w:i/>
    </w:rPr>
  </w:style>
  <w:style w:type="character" w:styleId="677">
    <w:name w:val="Intense Quote Char"/>
    <w:link w:val="709"/>
    <w:uiPriority w:val="30"/>
    <w:rPr>
      <w:i/>
    </w:rPr>
  </w:style>
  <w:style w:type="character" w:styleId="678">
    <w:name w:val="Footnote Text Char"/>
    <w:link w:val="842"/>
    <w:uiPriority w:val="99"/>
    <w:rPr>
      <w:sz w:val="18"/>
    </w:rPr>
  </w:style>
  <w:style w:type="character" w:styleId="679">
    <w:name w:val="Endnote Text Char"/>
    <w:link w:val="845"/>
    <w:uiPriority w:val="99"/>
    <w:rPr>
      <w:sz w:val="20"/>
    </w:rPr>
  </w:style>
  <w:style w:type="paragraph" w:styleId="68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Heading 1 Char"/>
    <w:basedOn w:val="681"/>
    <w:link w:val="859"/>
    <w:uiPriority w:val="9"/>
    <w:rPr>
      <w:rFonts w:ascii="Arial" w:hAnsi="Arial" w:eastAsia="Arial" w:cs="Arial"/>
      <w:sz w:val="40"/>
      <w:szCs w:val="40"/>
    </w:rPr>
  </w:style>
  <w:style w:type="paragraph" w:styleId="685" w:customStyle="1">
    <w:name w:val="Heading 2"/>
    <w:basedOn w:val="680"/>
    <w:next w:val="680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 w:customStyle="1">
    <w:name w:val="Heading 2 Char"/>
    <w:basedOn w:val="681"/>
    <w:link w:val="685"/>
    <w:uiPriority w:val="9"/>
    <w:rPr>
      <w:rFonts w:ascii="Arial" w:hAnsi="Arial" w:eastAsia="Arial" w:cs="Arial"/>
      <w:sz w:val="34"/>
    </w:rPr>
  </w:style>
  <w:style w:type="paragraph" w:styleId="687" w:customStyle="1">
    <w:name w:val="Heading 3"/>
    <w:basedOn w:val="680"/>
    <w:next w:val="680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 w:customStyle="1">
    <w:name w:val="Heading 3 Char"/>
    <w:basedOn w:val="681"/>
    <w:link w:val="687"/>
    <w:uiPriority w:val="9"/>
    <w:rPr>
      <w:rFonts w:ascii="Arial" w:hAnsi="Arial" w:eastAsia="Arial" w:cs="Arial"/>
      <w:sz w:val="30"/>
      <w:szCs w:val="30"/>
    </w:rPr>
  </w:style>
  <w:style w:type="paragraph" w:styleId="689" w:customStyle="1">
    <w:name w:val="Heading 4"/>
    <w:basedOn w:val="680"/>
    <w:next w:val="680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Heading 4 Char"/>
    <w:basedOn w:val="681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 w:customStyle="1">
    <w:name w:val="Heading 5"/>
    <w:basedOn w:val="680"/>
    <w:next w:val="680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692" w:customStyle="1">
    <w:name w:val="Heading 5 Char"/>
    <w:basedOn w:val="681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 w:customStyle="1">
    <w:name w:val="Heading 6"/>
    <w:basedOn w:val="680"/>
    <w:next w:val="680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Heading 6 Char"/>
    <w:basedOn w:val="681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 w:customStyle="1">
    <w:name w:val="Heading 7"/>
    <w:basedOn w:val="680"/>
    <w:next w:val="680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Heading 7 Char"/>
    <w:basedOn w:val="681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 w:customStyle="1">
    <w:name w:val="Heading 8"/>
    <w:basedOn w:val="680"/>
    <w:next w:val="680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Heading 8 Char"/>
    <w:basedOn w:val="681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 w:customStyle="1">
    <w:name w:val="Heading 9"/>
    <w:basedOn w:val="680"/>
    <w:next w:val="680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customStyle="1">
    <w:name w:val="Heading 9 Char"/>
    <w:basedOn w:val="681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680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after="0" w:line="240" w:lineRule="auto"/>
    </w:pPr>
  </w:style>
  <w:style w:type="paragraph" w:styleId="703">
    <w:name w:val="Title"/>
    <w:basedOn w:val="680"/>
    <w:next w:val="680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 w:customStyle="1">
    <w:name w:val="Название Знак"/>
    <w:basedOn w:val="681"/>
    <w:link w:val="703"/>
    <w:uiPriority w:val="10"/>
    <w:rPr>
      <w:sz w:val="48"/>
      <w:szCs w:val="48"/>
    </w:rPr>
  </w:style>
  <w:style w:type="paragraph" w:styleId="705">
    <w:name w:val="Subtitle"/>
    <w:basedOn w:val="680"/>
    <w:next w:val="680"/>
    <w:link w:val="706"/>
    <w:uiPriority w:val="11"/>
    <w:qFormat/>
    <w:pPr>
      <w:spacing w:before="200" w:after="200"/>
    </w:pPr>
  </w:style>
  <w:style w:type="character" w:styleId="706" w:customStyle="1">
    <w:name w:val="Подзаголовок Знак"/>
    <w:basedOn w:val="681"/>
    <w:link w:val="705"/>
    <w:uiPriority w:val="11"/>
    <w:rPr>
      <w:sz w:val="24"/>
      <w:szCs w:val="24"/>
    </w:rPr>
  </w:style>
  <w:style w:type="paragraph" w:styleId="707">
    <w:name w:val="Quote"/>
    <w:basedOn w:val="680"/>
    <w:next w:val="680"/>
    <w:link w:val="708"/>
    <w:uiPriority w:val="29"/>
    <w:qFormat/>
    <w:pPr>
      <w:ind w:left="720" w:right="720"/>
    </w:pPr>
    <w:rPr>
      <w:i/>
    </w:rPr>
  </w:style>
  <w:style w:type="character" w:styleId="708" w:customStyle="1">
    <w:name w:val="Цитата 2 Знак"/>
    <w:link w:val="707"/>
    <w:uiPriority w:val="29"/>
    <w:rPr>
      <w:i/>
    </w:rPr>
  </w:style>
  <w:style w:type="paragraph" w:styleId="709">
    <w:name w:val="Intense Quote"/>
    <w:basedOn w:val="680"/>
    <w:next w:val="680"/>
    <w:link w:val="7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 w:customStyle="1">
    <w:name w:val="Выделенная цитата Знак"/>
    <w:link w:val="709"/>
    <w:uiPriority w:val="30"/>
    <w:rPr>
      <w:i/>
    </w:rPr>
  </w:style>
  <w:style w:type="character" w:styleId="711" w:customStyle="1">
    <w:name w:val="Header Char"/>
    <w:basedOn w:val="681"/>
    <w:link w:val="871"/>
    <w:uiPriority w:val="99"/>
  </w:style>
  <w:style w:type="character" w:styleId="712" w:customStyle="1">
    <w:name w:val="Footer Char"/>
    <w:basedOn w:val="681"/>
    <w:link w:val="873"/>
    <w:uiPriority w:val="99"/>
  </w:style>
  <w:style w:type="paragraph" w:styleId="713" w:customStyle="1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4" w:customStyle="1">
    <w:name w:val="Caption Char"/>
    <w:link w:val="873"/>
    <w:uiPriority w:val="99"/>
  </w:style>
  <w:style w:type="table" w:styleId="715">
    <w:name w:val="Table Grid"/>
    <w:basedOn w:val="6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 w:customStyle="1">
    <w:name w:val="Table Grid Light"/>
    <w:basedOn w:val="68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 w:customStyle="1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 w:customStyle="1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 w:customStyle="1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5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6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7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8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9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0" w:customStyle="1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9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0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1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2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3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 w:customStyle="1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5" w:customStyle="1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8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9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0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1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2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3" w:customStyle="1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9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3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6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7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8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9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0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563c1" w:themeColor="hyperlink"/>
      <w:u w:val="single"/>
    </w:rPr>
  </w:style>
  <w:style w:type="paragraph" w:styleId="842">
    <w:name w:val="footnote text"/>
    <w:basedOn w:val="680"/>
    <w:link w:val="843"/>
    <w:uiPriority w:val="99"/>
    <w:semiHidden/>
    <w:unhideWhenUsed/>
    <w:pPr>
      <w:spacing w:after="40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basedOn w:val="681"/>
    <w:uiPriority w:val="99"/>
    <w:unhideWhenUsed/>
    <w:rPr>
      <w:vertAlign w:val="superscript"/>
    </w:rPr>
  </w:style>
  <w:style w:type="paragraph" w:styleId="845">
    <w:name w:val="endnote text"/>
    <w:basedOn w:val="680"/>
    <w:link w:val="846"/>
    <w:uiPriority w:val="99"/>
    <w:semiHidden/>
    <w:unhideWhenUsed/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basedOn w:val="681"/>
    <w:uiPriority w:val="99"/>
    <w:semiHidden/>
    <w:unhideWhenUsed/>
    <w:rPr>
      <w:vertAlign w:val="superscript"/>
    </w:rPr>
  </w:style>
  <w:style w:type="paragraph" w:styleId="848">
    <w:name w:val="toc 1"/>
    <w:basedOn w:val="680"/>
    <w:next w:val="680"/>
    <w:uiPriority w:val="39"/>
    <w:unhideWhenUsed/>
    <w:pPr>
      <w:spacing w:after="57"/>
    </w:pPr>
  </w:style>
  <w:style w:type="paragraph" w:styleId="849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50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51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52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53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54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55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56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80"/>
    <w:next w:val="680"/>
    <w:uiPriority w:val="99"/>
    <w:unhideWhenUsed/>
  </w:style>
  <w:style w:type="paragraph" w:styleId="859" w:customStyle="1">
    <w:name w:val="Heading 1"/>
    <w:basedOn w:val="680"/>
    <w:link w:val="863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860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61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62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bCs/>
      <w:sz w:val="20"/>
      <w:szCs w:val="20"/>
      <w:lang w:eastAsia="ru-RU"/>
    </w:rPr>
  </w:style>
  <w:style w:type="character" w:styleId="863" w:customStyle="1">
    <w:name w:val="Заголовок 1 Знак"/>
    <w:basedOn w:val="681"/>
    <w:link w:val="859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64">
    <w:name w:val="annotation reference"/>
    <w:basedOn w:val="681"/>
    <w:uiPriority w:val="99"/>
    <w:semiHidden/>
    <w:unhideWhenUsed/>
    <w:rPr>
      <w:sz w:val="16"/>
      <w:szCs w:val="16"/>
    </w:rPr>
  </w:style>
  <w:style w:type="paragraph" w:styleId="865">
    <w:name w:val="annotation text"/>
    <w:basedOn w:val="680"/>
    <w:link w:val="866"/>
    <w:uiPriority w:val="99"/>
    <w:semiHidden/>
    <w:unhideWhenUsed/>
    <w:rPr>
      <w:sz w:val="20"/>
      <w:szCs w:val="20"/>
    </w:rPr>
  </w:style>
  <w:style w:type="character" w:styleId="866" w:customStyle="1">
    <w:name w:val="Текст примечания Знак"/>
    <w:basedOn w:val="681"/>
    <w:link w:val="86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7">
    <w:name w:val="annotation subject"/>
    <w:basedOn w:val="865"/>
    <w:next w:val="865"/>
    <w:link w:val="868"/>
    <w:uiPriority w:val="99"/>
    <w:semiHidden/>
    <w:unhideWhenUsed/>
    <w:rPr>
      <w:b/>
      <w:bCs/>
    </w:rPr>
  </w:style>
  <w:style w:type="character" w:styleId="868" w:customStyle="1">
    <w:name w:val="Тема примечания Знак"/>
    <w:basedOn w:val="866"/>
    <w:link w:val="867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69">
    <w:name w:val="Balloon Text"/>
    <w:basedOn w:val="680"/>
    <w:link w:val="87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0" w:customStyle="1">
    <w:name w:val="Текст выноски Знак"/>
    <w:basedOn w:val="681"/>
    <w:link w:val="86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71" w:customStyle="1">
    <w:name w:val="Header"/>
    <w:basedOn w:val="680"/>
    <w:link w:val="8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681"/>
    <w:link w:val="87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3" w:customStyle="1">
    <w:name w:val="Footer"/>
    <w:basedOn w:val="680"/>
    <w:link w:val="87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4" w:customStyle="1">
    <w:name w:val="Нижний колонтитул Знак"/>
    <w:basedOn w:val="681"/>
    <w:link w:val="87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5">
    <w:name w:val="Document Map"/>
    <w:basedOn w:val="680"/>
    <w:link w:val="876"/>
    <w:uiPriority w:val="99"/>
    <w:semiHidden/>
    <w:unhideWhenUsed/>
    <w:rPr>
      <w:rFonts w:ascii="Tahoma" w:hAnsi="Tahoma" w:cs="Tahoma"/>
      <w:sz w:val="16"/>
      <w:szCs w:val="16"/>
    </w:rPr>
  </w:style>
  <w:style w:type="character" w:styleId="876" w:customStyle="1">
    <w:name w:val="Схема документа Знак"/>
    <w:basedOn w:val="681"/>
    <w:link w:val="875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F0681-3DB1-4875-A8AC-0CE859B4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revision>7</cp:revision>
  <dcterms:created xsi:type="dcterms:W3CDTF">2023-03-06T10:49:00Z</dcterms:created>
  <dcterms:modified xsi:type="dcterms:W3CDTF">2024-02-08T08:39:33Z</dcterms:modified>
</cp:coreProperties>
</file>