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134"/>
        <w:gridCol w:w="850"/>
        <w:gridCol w:w="850"/>
        <w:gridCol w:w="709"/>
        <w:gridCol w:w="709"/>
        <w:gridCol w:w="850"/>
        <w:gridCol w:w="850"/>
        <w:gridCol w:w="850"/>
        <w:gridCol w:w="850"/>
        <w:gridCol w:w="850"/>
        <w:gridCol w:w="850"/>
        <w:gridCol w:w="1984"/>
      </w:tblGrid>
      <w:tr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Цель/задачи, требующие решения для достижения цели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целевого индикатора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11"/>
            <w:tcW w:w="10205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Значение целевого индикатора по годам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14"/>
            <w:tcW w:w="15307" w:type="dxa"/>
            <w:vMerge w:val="restart"/>
            <w:textDirection w:val="lrTb"/>
            <w:noWrap w:val="false"/>
          </w:tcPr>
          <w:p>
            <w:pPr>
              <w:pStyle w:val="1_633"/>
              <w:jc w:val="center"/>
              <w:tabs>
                <w:tab w:val="left" w:pos="8362" w:leader="none"/>
              </w:tabs>
              <w:rPr>
                <w:rFonts w:ascii="Times New Roman" w:hAnsi="Times New Roman" w:cs="Times New Roman"/>
                <w:sz w:val="16"/>
                <w:szCs w:val="16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Государственная программа Новосибирской области "Обеспечение безопасности жизнедеятельности населения Новосибирской области"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14"/>
            <w:tcW w:w="15307" w:type="dxa"/>
            <w:vMerge w:val="restart"/>
            <w:textDirection w:val="lrTb"/>
            <w:noWrap w:val="false"/>
          </w:tcPr>
          <w:p>
            <w:pPr>
              <w:pStyle w:val="1_633"/>
              <w:jc w:val="center"/>
              <w:tabs>
                <w:tab w:val="left" w:pos="8362" w:leader="none"/>
              </w:tabs>
              <w:rPr>
                <w:rFonts w:ascii="Times New Roman" w:hAnsi="Times New Roman" w:cs="Times New Roman"/>
                <w:sz w:val="16"/>
                <w:szCs w:val="16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Цель 1 государственной программы - обеспечение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природного и техногенного характера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1867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Задача 1.1. Создание и обеспечение эффективного использования на территории Новосибирской области систем оповещения населения об угрозе возникновения или о возникновении чрезвычайных ситуаций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Охват населения Новосибирской области региональной автоматизированной системой централизованного оповещения гражданской обороны (РАСЦО ГО)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73,5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78,2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78,2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Начиная с 2017 года достижение прогнозных значений целевых индикаторов осуществляется в рамках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области», утвержденной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постановлением Правительства Новосибирской области от 14.12.2016 № 403-п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Задача 1.2. Создание условий для привлечения общественных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объединений добровольной пожарной охраны Новосибирской области к тушению пожаров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Доля общественных объединений добровольной пожарной охраны Новосибирской области,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привлекаемых в рамках государственной программы к тушению пожаров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 Уровень оснащенности добровольных пожарных специальной экипировкой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2,31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8,46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8,46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12,31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16,15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Целевой индикатор введен с 2020 года. Значение 2019 года указано в качестве базового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Задача 1.3. 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характера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 Доля паводкоопасных рек, на которых ликвидированы ледяные заторы (от общего количества паводкоопасных рек, на которых выявлена потребность в ликвидации ледяных заторов)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Целевой индикатор введен с 2016 года.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Значение 2015 года указано в качестве базового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4129"/>
        </w:trPr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 Доля населенных пунктов Новосибирской области, обеспеченных инженерной защитой от угрозы лесных и ландшафтных пожаров, от общего количества населенных пунктов, нуждающихся в инженерной защите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  <w:tabs>
                <w:tab w:val="left" w:pos="8362" w:leader="none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Целевой индикатор введен с 2016 года.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3"/>
              <w:jc w:val="center"/>
              <w:tabs>
                <w:tab w:val="left" w:pos="8362" w:leader="none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Значение 2015 года указано в качестве базового.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Исключен с 2020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2054"/>
        </w:trPr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 Количество жилых помещений, оснащенных автономными дымовыми пожарными извещателями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14804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  <w:tabs>
                <w:tab w:val="left" w:pos="8362" w:leader="none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Целевой индикатор введен с 2019 года, значение 2018 года указано в качестве базового.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3"/>
              <w:jc w:val="center"/>
              <w:tabs>
                <w:tab w:val="left" w:pos="8362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Исключен с 2020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Задача 1.4. Обеспечение и поддержание высокой готовности сил и средств ГКУ НСО «Центр ГО, ЧС и ПБ Новосибирской области» к эффективной защите населения и территории Новосибирской области от чрезвычайных ситуаций природного и техногенного характера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 Степень выполнения плана основных мероприятий ГКУ НСО "Центр ГО, ЧС и ПБ Новосибирской области"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 Доля населенных пунктов, в которых реагирование на пожары фа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ктически осуществляется подразделениями Государственной противопожарной службы на территории Новосибирской области, от общего количества населенных пунктов, прикрытие которых должно осуществляться силами подразделений Государственной противопожарной службы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70,06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70,32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70,77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70,77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70,77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Целевой индикатор введен с 2020 года. Значение 2019 года указано в качестве базового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bottom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 Количество пожарных депо, построенных в рамках государственной программы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Целевой индикатор введен с 2022 года. Значение 2021 года указано в качестве базового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Задача 1.5. Обеспечение обучения должностных лиц организаций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Новосибирской области всех форм собственности вопросам гражданской обороны и защиты населения и территории от чрезвычайных ситуаций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 Уровень исполнения государственного задания на обучение должностных лиц вопросам обеспечения безопасности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pStyle w:val="1_633"/>
        <w:contextualSpacing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3"/>
        <w:contextualSpacing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Применяемые сокращения: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_633"/>
        <w:contextualSpacing/>
        <w:ind w:firstLine="540"/>
        <w:jc w:val="both"/>
        <w:spacing w:before="2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1_633"/>
        <w:contextualSpacing/>
        <w:ind w:firstLine="540"/>
        <w:jc w:val="both"/>
        <w:spacing w:before="22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ГКУ НСО «Центр ГО, ЧС и ПБ Новосибирской области» -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области»;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_633"/>
        <w:contextualSpacing/>
        <w:ind w:firstLine="540"/>
        <w:jc w:val="both"/>
        <w:spacing w:before="2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РАСЦО ГО - региональная автоматизированная система централизованного оповещения гражданской обороны.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2024-02-01T05:33:44Z</dcterms:modified>
</cp:coreProperties>
</file>