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 внесении изменений в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отдельные постановления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</w:t>
      </w:r>
      <w:r>
        <w:rPr>
          <w:color w:val="000000"/>
          <w:sz w:val="28"/>
          <w:szCs w:val="28"/>
          <w:highlight w:val="white"/>
        </w:rPr>
      </w:r>
      <w:r/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Внести в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 Правительства Новосибирской области от 17.05.2016 № 146-п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пункт 3 после слов «</w:t>
      </w:r>
      <w:r>
        <w:rPr>
          <w:rFonts w:ascii="Times New Roman" w:hAnsi="Times New Roman"/>
          <w:sz w:val="28"/>
          <w:szCs w:val="28"/>
          <w:highlight w:val="white"/>
        </w:rPr>
        <w:t xml:space="preserve">учреждением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 дополнить словами «</w:t>
      </w:r>
      <w:r>
        <w:rPr>
          <w:sz w:val="28"/>
          <w:szCs w:val="28"/>
          <w:highlight w:val="white"/>
        </w:rPr>
        <w:t xml:space="preserve">(центром социальной поддержки населения города или района Новосибирской области), государственным казенным учреждением Новосибирской области «Центр социальной поддержки населения </w:t>
        <w:br/>
        <w:t xml:space="preserve">г. Новосибирска» (к</w:t>
      </w:r>
      <w:r>
        <w:rPr>
          <w:sz w:val="28"/>
          <w:szCs w:val="28"/>
          <w:highlight w:val="white"/>
        </w:rPr>
        <w:t xml:space="preserve">лиентской службой)</w:t>
      </w:r>
      <w:r>
        <w:rPr>
          <w:sz w:val="28"/>
          <w:szCs w:val="28"/>
          <w:highlight w:val="white"/>
        </w:rPr>
        <w:t xml:space="preserve">»;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абзац первый пункта 17 после слов «с месяца» дополнить словами </w:t>
        <w:br/>
        <w:t xml:space="preserve">«, следующего за месяцем»;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) дополнить пунктом 19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«19. </w:t>
      </w:r>
      <w:r>
        <w:rPr>
          <w:sz w:val="28"/>
          <w:szCs w:val="28"/>
          <w:highlight w:val="white"/>
        </w:rPr>
        <w:t xml:space="preserve">Излишне выплаченные </w:t>
      </w:r>
      <w:r>
        <w:rPr>
          <w:sz w:val="28"/>
          <w:szCs w:val="28"/>
          <w:highlight w:val="white"/>
        </w:rPr>
        <w:t xml:space="preserve">по вине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получателя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суммы </w:t>
      </w:r>
      <w:r>
        <w:rPr>
          <w:sz w:val="28"/>
          <w:szCs w:val="28"/>
          <w:highlight w:val="white"/>
        </w:rPr>
        <w:t xml:space="preserve">компенсации взноса засчитываются в счет будущих </w:t>
      </w:r>
      <w:r>
        <w:rPr>
          <w:sz w:val="28"/>
          <w:szCs w:val="28"/>
          <w:highlight w:val="white"/>
        </w:rPr>
        <w:t xml:space="preserve">выплат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. В случае прекращения предоставления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излишне выплаченная </w:t>
      </w:r>
      <w:r>
        <w:rPr>
          <w:sz w:val="28"/>
          <w:szCs w:val="28"/>
          <w:highlight w:val="white"/>
        </w:rPr>
        <w:t xml:space="preserve">центром социальной поддер</w:t>
      </w:r>
      <w:r>
        <w:rPr>
          <w:sz w:val="28"/>
          <w:szCs w:val="28"/>
          <w:highlight w:val="white"/>
        </w:rPr>
        <w:t xml:space="preserve">жки</w:t>
      </w:r>
      <w:r>
        <w:rPr>
          <w:sz w:val="28"/>
          <w:szCs w:val="28"/>
          <w:highlight w:val="white"/>
        </w:rPr>
        <w:t xml:space="preserve"> населения </w:t>
      </w:r>
      <w:r>
        <w:rPr>
          <w:sz w:val="28"/>
          <w:szCs w:val="28"/>
          <w:highlight w:val="white"/>
        </w:rPr>
        <w:t xml:space="preserve">сумма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взыскивается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олучателя </w:t>
      </w:r>
      <w:r>
        <w:rPr>
          <w:sz w:val="28"/>
          <w:szCs w:val="28"/>
          <w:highlight w:val="white"/>
        </w:rPr>
        <w:t xml:space="preserve">компенсации взноса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порядке, предусмотренном законодательством Российской Федерации.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color w:val="000000"/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  <w:t xml:space="preserve"> Новосибирской области от 22</w:t>
      </w:r>
      <w:r>
        <w:rPr>
          <w:color w:val="000000"/>
          <w:sz w:val="28"/>
          <w:szCs w:val="28"/>
          <w:highlight w:val="white"/>
        </w:rPr>
        <w:t xml:space="preserve">.07.2019 № 281-п «</w:t>
      </w:r>
      <w:r>
        <w:rPr>
          <w:rFonts w:eastAsia="Calibri"/>
          <w:sz w:val="28"/>
          <w:szCs w:val="28"/>
          <w:highlight w:val="white"/>
        </w:rPr>
        <w:t xml:space="preserve">Об установлении размера, порядка и условий предоставления социальной помощи на территории Новосибирской области»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в </w:t>
      </w:r>
      <w:hyperlink r:id="rId10" w:tooltip="consultantplus://offline/ref=E6F694A679284192B6CD3FA1304983448C8C8AA57255F295CBC44132C0DE45CD0B79C77CFE370CEB86EE42B724D5C721C488A2243BDBE6999015359DPFg0F" w:history="1">
        <w:r>
          <w:rPr>
            <w:rFonts w:eastAsia="Calibri"/>
            <w:sz w:val="28"/>
            <w:szCs w:val="28"/>
            <w:highlight w:val="white"/>
          </w:rPr>
          <w:t xml:space="preserve">приложении</w:t>
        </w:r>
      </w:hyperlink>
      <w:r>
        <w:rPr>
          <w:rFonts w:eastAsia="Calibri"/>
          <w:sz w:val="28"/>
          <w:szCs w:val="28"/>
          <w:highlight w:val="white"/>
        </w:rPr>
        <w:t xml:space="preserve"> № 1: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а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пункт 2 после слов </w:t>
      </w:r>
      <w:r>
        <w:rPr>
          <w:sz w:val="28"/>
          <w:szCs w:val="28"/>
          <w:highlight w:val="white"/>
        </w:rPr>
        <w:t xml:space="preserve">«учреждение Новосибирской области» дополнить </w:t>
      </w:r>
      <w:r>
        <w:rPr>
          <w:rFonts w:eastAsia="Calibri"/>
          <w:sz w:val="28"/>
          <w:szCs w:val="28"/>
          <w:highlight w:val="white"/>
        </w:rPr>
        <w:t xml:space="preserve"> словами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(центр социальной поддержки населения города или района Новосибирской области), государственное казенное учреждение Новосибирской области «Центр социальной поддержки насе</w:t>
      </w:r>
      <w:r>
        <w:rPr>
          <w:sz w:val="28"/>
          <w:szCs w:val="28"/>
          <w:highlight w:val="white"/>
        </w:rPr>
        <w:t xml:space="preserve">ления </w:t>
        <w:br/>
        <w:t xml:space="preserve">г. Новосибирска» (к</w:t>
      </w:r>
      <w:r>
        <w:rPr>
          <w:sz w:val="28"/>
          <w:szCs w:val="28"/>
          <w:highlight w:val="white"/>
        </w:rPr>
        <w:t xml:space="preserve">лиентскую службу)</w:t>
      </w:r>
      <w:r>
        <w:rPr>
          <w:sz w:val="28"/>
          <w:szCs w:val="28"/>
          <w:highlight w:val="white"/>
        </w:rPr>
        <w:t xml:space="preserve">»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б) </w:t>
      </w:r>
      <w:r>
        <w:rPr>
          <w:rFonts w:eastAsia="Calibri"/>
          <w:sz w:val="28"/>
          <w:szCs w:val="28"/>
          <w:highlight w:val="white"/>
        </w:rPr>
        <w:t xml:space="preserve">подпункт 3 пункта 4 изложить в следующей редакции: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«3) </w:t>
      </w:r>
      <w:r>
        <w:rPr>
          <w:rFonts w:eastAsia="Calibri"/>
          <w:sz w:val="28"/>
          <w:szCs w:val="28"/>
          <w:highlight w:val="white"/>
        </w:rPr>
        <w:t xml:space="preserve">документы </w:t>
      </w:r>
      <w:r>
        <w:rPr>
          <w:rFonts w:eastAsia="Calibri"/>
          <w:sz w:val="28"/>
          <w:szCs w:val="28"/>
          <w:highlight w:val="white"/>
        </w:rPr>
        <w:t xml:space="preserve">(сведения)</w:t>
      </w:r>
      <w:r>
        <w:rPr>
          <w:rFonts w:eastAsia="Calibri"/>
          <w:sz w:val="28"/>
          <w:szCs w:val="28"/>
          <w:highlight w:val="white"/>
        </w:rPr>
        <w:t xml:space="preserve"> о доходах членов семьи или одиноко проживающего заявителя в трудной жизненной ситуации</w:t>
      </w:r>
      <w:r>
        <w:rPr>
          <w:rFonts w:eastAsia="Calibri"/>
          <w:sz w:val="28"/>
          <w:szCs w:val="28"/>
          <w:highlight w:val="white"/>
        </w:rPr>
        <w:t xml:space="preserve"> за три последних календарных месяца, предшествующих одному календарному месяцу перед месяцем </w:t>
      </w:r>
      <w:r>
        <w:rPr>
          <w:rFonts w:eastAsia="Calibri"/>
          <w:sz w:val="28"/>
          <w:szCs w:val="28"/>
          <w:highlight w:val="white"/>
        </w:rPr>
        <w:t xml:space="preserve">подачи </w:t>
      </w:r>
      <w:r>
        <w:rPr>
          <w:rFonts w:eastAsia="Calibri"/>
          <w:sz w:val="28"/>
          <w:szCs w:val="28"/>
          <w:highlight w:val="white"/>
        </w:rPr>
        <w:t xml:space="preserve">заявления об оказании социальной помощи в связи с трудной жизненной ситуацией (которые</w:t>
      </w:r>
      <w:r>
        <w:rPr>
          <w:rFonts w:eastAsia="Calibri"/>
          <w:sz w:val="28"/>
          <w:szCs w:val="28"/>
          <w:highlight w:val="white"/>
        </w:rPr>
        <w:t xml:space="preserve"> отсутствуют в органах и (или) организациях, участвующих в межведомственном информационном взаимодействии);</w:t>
      </w:r>
      <w:r>
        <w:rPr>
          <w:rFonts w:eastAsia="Calibri"/>
          <w:sz w:val="28"/>
          <w:szCs w:val="28"/>
          <w:highlight w:val="white"/>
        </w:rPr>
        <w:t xml:space="preserve">»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</w:t>
      </w:r>
      <w:r>
        <w:rPr>
          <w:sz w:val="28"/>
          <w:szCs w:val="28"/>
          <w:highlight w:val="white"/>
        </w:rPr>
        <w:t xml:space="preserve">пункт 21 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Государственная социальная помощь на основании социального контракта</w:t>
      </w:r>
      <w:r>
        <w:rPr>
          <w:sz w:val="28"/>
          <w:szCs w:val="28"/>
          <w:highlight w:val="white"/>
        </w:rPr>
        <w:t xml:space="preserve"> предоставляется в приоритетном порядке многодетным семьям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пункте 27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подпункте 3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абзац первый после слов «сметы расходов,» дополнить словами «</w:t>
      </w:r>
      <w:r>
        <w:rPr>
          <w:sz w:val="28"/>
          <w:szCs w:val="28"/>
          <w:highlight w:val="white"/>
        </w:rPr>
        <w:t xml:space="preserve">которая является приложением</w:t>
      </w:r>
      <w:r>
        <w:rPr>
          <w:sz w:val="28"/>
          <w:szCs w:val="28"/>
          <w:highlight w:val="white"/>
        </w:rPr>
        <w:t xml:space="preserve"> к плану развития личного подсобного хозяйства,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абзаце втором 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 назначении)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подпункте 4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третьем </w:t>
      </w:r>
      <w:r>
        <w:rPr>
          <w:sz w:val="28"/>
          <w:szCs w:val="28"/>
          <w:highlight w:val="white"/>
        </w:rPr>
        <w:t xml:space="preserve">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заявление о назначении)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четвертом слова «по частям» заменить словом «ежемесячно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абзаце втором пункта 29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е)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втором пункта 30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подпункте 5 пункта</w:t>
      </w:r>
      <w:r>
        <w:rPr>
          <w:sz w:val="28"/>
          <w:szCs w:val="28"/>
          <w:highlight w:val="white"/>
        </w:rPr>
        <w:t xml:space="preserve"> 41</w:t>
      </w:r>
      <w:r>
        <w:rPr>
          <w:sz w:val="28"/>
          <w:szCs w:val="28"/>
          <w:highlight w:val="white"/>
        </w:rPr>
        <w:t xml:space="preserve"> цифры «75» заменить цифрами «83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пункте 45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абзацах первом, втором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абзаце четвертом слова «</w:t>
      </w:r>
      <w:r>
        <w:rPr>
          <w:sz w:val="28"/>
          <w:szCs w:val="28"/>
          <w:highlight w:val="white"/>
        </w:rPr>
        <w:t xml:space="preserve">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 исключить;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и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третьем пункта 50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к</w:t>
      </w:r>
      <w:r>
        <w:rPr>
          <w:rFonts w:eastAsia="Calibri"/>
          <w:sz w:val="28"/>
          <w:szCs w:val="28"/>
          <w:highlight w:val="white"/>
        </w:rPr>
        <w:t xml:space="preserve">) </w:t>
      </w:r>
      <w:r>
        <w:rPr>
          <w:rFonts w:eastAsia="Calibri"/>
          <w:sz w:val="28"/>
          <w:szCs w:val="28"/>
          <w:highlight w:val="white"/>
        </w:rPr>
        <w:t xml:space="preserve">в</w:t>
      </w:r>
      <w:r>
        <w:rPr>
          <w:rFonts w:eastAsia="Calibri"/>
          <w:sz w:val="28"/>
          <w:szCs w:val="28"/>
          <w:highlight w:val="white"/>
        </w:rPr>
        <w:t xml:space="preserve"> абзаце первом пункта 54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лова «,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в информац</w:t>
      </w:r>
      <w:r>
        <w:rPr>
          <w:sz w:val="28"/>
          <w:szCs w:val="28"/>
          <w:highlight w:val="white"/>
        </w:rPr>
        <w:t xml:space="preserve">ионно-телекоммуникационной сети «Интернет» (https://www.мсп.рф)» исключить, </w:t>
      </w:r>
      <w:r>
        <w:rPr>
          <w:sz w:val="28"/>
          <w:szCs w:val="28"/>
          <w:highlight w:val="white"/>
        </w:rPr>
        <w:t xml:space="preserve">дополнить предложением следующего содержания: «Министерство экономического развития Российской Федерации определяет информационную систему, с использованием которой проводится такое тестирование.»;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л)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втором подпункта 2, </w:t>
      </w:r>
      <w:r>
        <w:rPr>
          <w:sz w:val="28"/>
          <w:szCs w:val="28"/>
          <w:highlight w:val="white"/>
        </w:rPr>
        <w:t xml:space="preserve">абзаце втором подпункта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пункта 60</w:t>
      </w:r>
      <w:r>
        <w:rPr>
          <w:sz w:val="28"/>
          <w:szCs w:val="28"/>
          <w:highlight w:val="white"/>
        </w:rPr>
        <w:t xml:space="preserve"> 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седьмом пункта 65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</w:t>
      </w:r>
      <w:r>
        <w:rPr>
          <w:sz w:val="28"/>
          <w:szCs w:val="28"/>
          <w:highlight w:val="white"/>
        </w:rPr>
        <w:t xml:space="preserve"> «а также посредством» заменить словами «в том числе с использованием»;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н) </w:t>
      </w:r>
      <w:r>
        <w:rPr>
          <w:rFonts w:eastAsia="Calibri"/>
          <w:sz w:val="28"/>
          <w:szCs w:val="28"/>
          <w:highlight w:val="white"/>
        </w:rPr>
        <w:t xml:space="preserve">в абзаце втором подпункта 2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в абзаце втором подпункта 3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пункта 71</w:t>
      </w:r>
      <w:r>
        <w:rPr>
          <w:sz w:val="28"/>
          <w:szCs w:val="28"/>
          <w:highlight w:val="white"/>
        </w:rPr>
        <w:t xml:space="preserve"> 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по Новосибирской области»;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подпунктах 1, 6</w:t>
      </w:r>
      <w:r>
        <w:rPr>
          <w:sz w:val="28"/>
          <w:szCs w:val="28"/>
          <w:highlight w:val="white"/>
        </w:rPr>
        <w:t xml:space="preserve"> пункта 76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подпунктах 1, 7</w:t>
      </w:r>
      <w:r>
        <w:rPr>
          <w:sz w:val="28"/>
          <w:szCs w:val="28"/>
          <w:highlight w:val="white"/>
        </w:rPr>
        <w:t xml:space="preserve"> пункта 78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поиску работы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bCs/>
          <w:i/>
          <w:sz w:val="20"/>
          <w:szCs w:val="20"/>
          <w:highlight w:val="white"/>
        </w:rPr>
      </w:r>
      <w:r>
        <w:rPr>
          <w:bCs/>
          <w:i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i/>
          <w:iCs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i/>
          <w:iCs/>
          <w:sz w:val="20"/>
          <w:szCs w:val="20"/>
          <w:highlight w:val="white"/>
        </w:rPr>
      </w:r>
      <w:r>
        <w:rPr>
          <w:i/>
          <w:iCs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государственным казенным учреждением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_____________________________________________________________________»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i/>
          <w:iCs/>
          <w:sz w:val="20"/>
          <w:szCs w:val="20"/>
          <w:highlight w:val="white"/>
        </w:rPr>
      </w:pP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i/>
          <w:iCs/>
          <w:sz w:val="20"/>
          <w:szCs w:val="20"/>
          <w:highlight w:val="white"/>
        </w:rPr>
      </w:r>
      <w:r>
        <w:rPr>
          <w:i/>
          <w:iCs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(отделом занятости населения ______________________ района </w:t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города Новосибирска»), </w:t>
      </w:r>
      <w:r>
        <w:rPr>
          <w:sz w:val="28"/>
          <w:szCs w:val="28"/>
          <w:highlight w:val="white"/>
        </w:rPr>
        <w:t xml:space="preserve">именуемым в дальнейшем «Центр», в лице руководителя </w:t>
      </w:r>
      <w:r>
        <w:rPr>
          <w:sz w:val="28"/>
          <w:szCs w:val="28"/>
          <w:highlight w:val="white"/>
        </w:rPr>
        <w:t xml:space="preserve">_____________________________________________, действующего на основании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Устава (доверенности), и гражданином 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/>
          <w:i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white"/>
        </w:rPr>
        <w:t xml:space="preserve">–</w:t>
      </w:r>
      <w:r>
        <w:rPr>
          <w:i/>
          <w:iCs/>
          <w:sz w:val="20"/>
          <w:szCs w:val="20"/>
          <w:highlight w:val="white"/>
        </w:rPr>
        <w:t xml:space="preserve"> при наличии)</w:t>
      </w:r>
      <w:r>
        <w:rPr>
          <w:bCs/>
          <w:i/>
          <w:sz w:val="20"/>
          <w:szCs w:val="20"/>
          <w:highlight w:val="white"/>
        </w:rPr>
      </w:r>
      <w:r>
        <w:rPr>
          <w:bCs/>
          <w:i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Де</w:t>
      </w:r>
      <w:r>
        <w:rPr>
          <w:sz w:val="28"/>
          <w:szCs w:val="28"/>
          <w:highlight w:val="white"/>
        </w:rPr>
        <w:t xml:space="preserve">нежная выплата, предоставляемая в течение трех месяцев с даты подтверждения факта трудоустройства Получателя, осуществляется ежемесячно, в срок до 26 числа месяца, </w:t>
      </w:r>
      <w:r>
        <w:rPr>
          <w:sz w:val="28"/>
          <w:szCs w:val="28"/>
          <w:highlight w:val="white"/>
        </w:rPr>
        <w:t xml:space="preserve">следующего за </w:t>
      </w:r>
      <w:r>
        <w:rPr>
          <w:sz w:val="28"/>
          <w:szCs w:val="28"/>
          <w:highlight w:val="white"/>
        </w:rPr>
        <w:t xml:space="preserve">отчетным (в том числе со дня окончания срока</w:t>
      </w:r>
      <w:r>
        <w:rPr>
          <w:sz w:val="28"/>
          <w:szCs w:val="28"/>
          <w:highlight w:val="white"/>
        </w:rPr>
        <w:t xml:space="preserve"> действия Контракта без его продления) при условии продолжения осуществления Получателем трудовой деятельности в рамках трудового договора (служебного контракта), заключенного в период действия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прерывания Получателем трудовой деятельности в период действия Контракта (расторжение трудового догово</w:t>
      </w:r>
      <w:r>
        <w:rPr>
          <w:sz w:val="28"/>
          <w:szCs w:val="28"/>
          <w:highlight w:val="white"/>
        </w:rPr>
        <w:t xml:space="preserve">ра по инициативе работника (по собственному желанию)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 более чем на один месяц) </w:t>
      </w:r>
      <w:r>
        <w:rPr>
          <w:sz w:val="28"/>
          <w:szCs w:val="28"/>
          <w:highlight w:val="white"/>
        </w:rPr>
        <w:t xml:space="preserve">денежная выплата, </w:t>
      </w:r>
      <w:r>
        <w:rPr>
          <w:sz w:val="28"/>
          <w:szCs w:val="28"/>
          <w:highlight w:val="white"/>
        </w:rPr>
        <w:t xml:space="preserve">предоставляемая с даты подтверждения трудоустройства </w:t>
      </w:r>
      <w:r>
        <w:rPr>
          <w:sz w:val="28"/>
          <w:szCs w:val="28"/>
          <w:highlight w:val="white"/>
        </w:rPr>
        <w:t xml:space="preserve">Получателя</w:t>
      </w:r>
      <w:r>
        <w:rPr>
          <w:sz w:val="28"/>
          <w:szCs w:val="28"/>
          <w:highlight w:val="white"/>
        </w:rPr>
        <w:t xml:space="preserve">, продолжает осуществляться. При этом общий период </w:t>
      </w:r>
      <w:r>
        <w:rPr>
          <w:sz w:val="28"/>
          <w:szCs w:val="28"/>
          <w:highlight w:val="white"/>
        </w:rPr>
        <w:t xml:space="preserve">де</w:t>
      </w:r>
      <w:r>
        <w:rPr>
          <w:sz w:val="28"/>
          <w:szCs w:val="28"/>
          <w:highlight w:val="white"/>
        </w:rPr>
        <w:t xml:space="preserve">нежной выплат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производимой по факту трудоустройства,</w:t>
      </w:r>
      <w:r>
        <w:rPr>
          <w:sz w:val="28"/>
          <w:szCs w:val="28"/>
          <w:highlight w:val="white"/>
        </w:rPr>
        <w:t xml:space="preserve"> не может превышать три месяца.»;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абзац седьмой пункта 6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2;o:allowoverlap:true;o:allowincell:true;mso-position-horizontal-relative:text;margin-left:46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       </w:t>
      </w:r>
      <w:r>
        <w:rPr>
          <w:rFonts w:eastAsia="Calibri"/>
          <w:sz w:val="28"/>
          <w:szCs w:val="28"/>
          <w:highlight w:val="white"/>
        </w:rPr>
        <w:t xml:space="preserve">осуществлять трудовую деятельность </w:t>
      </w:r>
      <w:r>
        <w:rPr>
          <w:sz w:val="28"/>
          <w:szCs w:val="28"/>
          <w:highlight w:val="white"/>
        </w:rPr>
        <w:t xml:space="preserve">в период действия Контракта и</w:t>
      </w:r>
      <w:r>
        <w:rPr>
          <w:rFonts w:eastAsia="Calibri"/>
          <w:sz w:val="28"/>
          <w:szCs w:val="28"/>
          <w:highlight w:val="white"/>
        </w:rPr>
        <w:t xml:space="preserve"> не менее чем в течение 12 </w:t>
      </w:r>
      <w:r>
        <w:rPr>
          <w:rFonts w:eastAsia="Calibri"/>
          <w:sz w:val="28"/>
          <w:szCs w:val="28"/>
          <w:highlight w:val="white"/>
        </w:rPr>
        <w:t xml:space="preserve">месяцев со дня окончания срока действия Контракта (исключая случаи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сокращения, увольнения в связи с переездом на новое место жительства и иные</w:t>
      </w:r>
      <w:r>
        <w:rPr>
          <w:sz w:val="28"/>
          <w:szCs w:val="28"/>
          <w:highlight w:val="white"/>
        </w:rPr>
        <w:t xml:space="preserve"> уважительные причины);»;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11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11.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9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</w:t>
      </w:r>
      <w:r>
        <w:rPr>
          <w:sz w:val="28"/>
          <w:szCs w:val="28"/>
          <w:highlight w:val="white"/>
        </w:rPr>
        <w:t xml:space="preserve">трех</w:t>
      </w:r>
      <w:r>
        <w:rPr>
          <w:sz w:val="28"/>
          <w:szCs w:val="28"/>
          <w:highlight w:val="white"/>
        </w:rPr>
        <w:t xml:space="preserve"> рабочих дней со дня принятия </w:t>
      </w:r>
      <w:r>
        <w:rPr>
          <w:sz w:val="28"/>
          <w:szCs w:val="28"/>
          <w:highlight w:val="white"/>
        </w:rPr>
        <w:t xml:space="preserve">Учреждением</w:t>
      </w:r>
      <w:r>
        <w:rPr>
          <w:sz w:val="28"/>
          <w:szCs w:val="28"/>
          <w:highlight w:val="white"/>
        </w:rPr>
        <w:t xml:space="preserve">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осуществлению индивидуальной предпринимательской деятельности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bCs/>
          <w:i/>
          <w:sz w:val="20"/>
          <w:szCs w:val="20"/>
          <w:highlight w:val="white"/>
        </w:rPr>
      </w:r>
      <w:r>
        <w:rPr>
          <w:bCs/>
          <w:i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i/>
          <w:iCs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 (наименование)</w:t>
      </w:r>
      <w:r>
        <w:rPr>
          <w:i/>
          <w:iCs/>
          <w:sz w:val="20"/>
          <w:szCs w:val="20"/>
          <w:highlight w:val="white"/>
        </w:rPr>
      </w:r>
      <w:r>
        <w:rPr>
          <w:i/>
          <w:iCs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государственным казенным учреждением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_____________________________________________________________________»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i/>
          <w:iCs/>
          <w:sz w:val="20"/>
          <w:szCs w:val="20"/>
          <w:highlight w:val="white"/>
        </w:rPr>
      </w:pP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i/>
          <w:iCs/>
          <w:sz w:val="20"/>
          <w:szCs w:val="20"/>
          <w:highlight w:val="white"/>
        </w:rPr>
      </w:r>
      <w:r>
        <w:rPr>
          <w:i/>
          <w:iCs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(отделом занятости населения ______________________ района </w:t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</w:t>
      </w:r>
      <w:r>
        <w:rPr>
          <w:sz w:val="28"/>
          <w:szCs w:val="28"/>
          <w:highlight w:val="white"/>
        </w:rPr>
        <w:t xml:space="preserve">занятости населения города Новосибирска»), </w:t>
      </w:r>
      <w:r>
        <w:rPr>
          <w:sz w:val="28"/>
          <w:szCs w:val="28"/>
          <w:highlight w:val="white"/>
        </w:rPr>
        <w:t xml:space="preserve">именуемым в дальнейшем «Центр», в лице руководителя </w:t>
      </w:r>
      <w:r>
        <w:rPr>
          <w:sz w:val="28"/>
          <w:szCs w:val="28"/>
          <w:highlight w:val="white"/>
        </w:rPr>
        <w:t xml:space="preserve">_____________________________________________, действующего на основании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Устава (доверенности), и гражданином 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white"/>
        </w:rPr>
        <w:t xml:space="preserve">–</w:t>
      </w:r>
      <w:r>
        <w:rPr>
          <w:i/>
          <w:iCs/>
          <w:sz w:val="20"/>
          <w:szCs w:val="20"/>
          <w:highlight w:val="white"/>
        </w:rPr>
        <w:t xml:space="preserve"> при наличии)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8" cy="22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2;o:allowoverlap:true;o:allowincell:true;mso-position-horizontal-relative:text;margin-left:58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«2)     </w:t>
      </w:r>
      <w:r>
        <w:rPr>
          <w:rFonts w:eastAsia="Calibri"/>
          <w:sz w:val="28"/>
          <w:szCs w:val="28"/>
          <w:highlight w:val="white"/>
        </w:rPr>
        <w:t xml:space="preserve">   оказывать совместно с Центром и органом местного самоуправления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 содействие Получателю в создании условий для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осуществления предпринимательской деятельности;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3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2;o:allowoverlap:true;o:allowincell:true;mso-position-horizontal-relative:text;margin-left:34.70pt;mso-position-horizontal:absolute;mso-position-vertical-relative:text;margin-top:1.70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осуществить Получателю денежную выплату</w:t>
      </w:r>
      <w:r>
        <w:rPr>
          <w:sz w:val="28"/>
          <w:szCs w:val="28"/>
          <w:highlight w:val="white"/>
        </w:rPr>
        <w:t xml:space="preserve"> единовременно или по частям в зависимости от этапа исполнения мероприятий программы социальной адаптации и бизнес-плана, одобре</w:t>
      </w:r>
      <w:r>
        <w:rPr>
          <w:sz w:val="28"/>
          <w:szCs w:val="28"/>
          <w:highlight w:val="white"/>
        </w:rPr>
        <w:t xml:space="preserve">нных межведомственной комиссией, </w:t>
      </w:r>
      <w:r>
        <w:rPr>
          <w:sz w:val="28"/>
          <w:szCs w:val="28"/>
          <w:highlight w:val="white"/>
        </w:rPr>
        <w:t xml:space="preserve">с целью осуществления им предпринимательской деятельности (в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соответствии с бизнес-планом, но не более 350 000 рублей);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 денежные средства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</w:t>
      </w:r>
      <w:r>
        <w:rPr>
          <w:sz w:val="28"/>
          <w:szCs w:val="28"/>
          <w:highlight w:val="white"/>
        </w:rPr>
        <w:t xml:space="preserve">грамму социальной адаптации условия выплаты денежных средств по частям, в зависимости от исполнения мероприятий программы социальной адаптации, денежные средства на</w:t>
      </w:r>
      <w:r>
        <w:rPr>
          <w:sz w:val="28"/>
          <w:szCs w:val="28"/>
          <w:highlight w:val="white"/>
        </w:rPr>
        <w:t xml:space="preserve"> выполнение первого мероприятия программы социальной адаптации перечисляются в срок не более 90 дней со дня обращения 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Последующие выплаты осуществляются до 26 числа месяца, следующего за месяцем выполнения предыдущего мероприятия</w:t>
      </w:r>
      <w:r>
        <w:rPr>
          <w:sz w:val="28"/>
          <w:szCs w:val="28"/>
          <w:highlight w:val="white"/>
        </w:rPr>
        <w:t xml:space="preserve"> программы социальной адаптации.»;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в) в абзаце втором пункта 10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 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11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11.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9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</w:t>
      </w:r>
      <w:r>
        <w:rPr>
          <w:sz w:val="28"/>
          <w:szCs w:val="28"/>
          <w:highlight w:val="white"/>
        </w:rPr>
        <w:t xml:space="preserve">трех</w:t>
      </w:r>
      <w:r>
        <w:rPr>
          <w:sz w:val="28"/>
          <w:szCs w:val="28"/>
          <w:highlight w:val="white"/>
        </w:rPr>
        <w:t xml:space="preserve"> рабочих дней со дня принятия </w:t>
      </w:r>
      <w:r>
        <w:rPr>
          <w:sz w:val="28"/>
          <w:szCs w:val="28"/>
          <w:highlight w:val="white"/>
        </w:rPr>
        <w:t xml:space="preserve">Учреждением</w:t>
      </w:r>
      <w:r>
        <w:rPr>
          <w:sz w:val="28"/>
          <w:szCs w:val="28"/>
          <w:highlight w:val="white"/>
        </w:rPr>
        <w:t xml:space="preserve"> 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на выполнен</w:t>
      </w:r>
      <w:r>
        <w:rPr>
          <w:sz w:val="28"/>
          <w:szCs w:val="28"/>
          <w:highlight w:val="white"/>
        </w:rPr>
        <w:t xml:space="preserve">ие мероприятия по </w:t>
      </w:r>
      <w:r>
        <w:rPr>
          <w:sz w:val="28"/>
          <w:szCs w:val="28"/>
          <w:highlight w:val="white"/>
        </w:rPr>
        <w:t xml:space="preserve">выполнен</w:t>
      </w:r>
      <w:r>
        <w:rPr>
          <w:sz w:val="28"/>
          <w:szCs w:val="28"/>
          <w:highlight w:val="white"/>
        </w:rPr>
        <w:t xml:space="preserve">ию мероприятия по ведению личного подсобного хозяйства: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 (наименование)</w:t>
      </w:r>
      <w:r>
        <w:rPr>
          <w:bCs/>
          <w:i/>
          <w:sz w:val="20"/>
          <w:szCs w:val="20"/>
          <w:highlight w:val="white"/>
        </w:rPr>
      </w:r>
      <w:r>
        <w:rPr>
          <w:bCs/>
          <w:i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i/>
          <w:iCs/>
          <w:sz w:val="20"/>
          <w:szCs w:val="20"/>
          <w:highlight w:val="white"/>
        </w:rPr>
        <w:t xml:space="preserve">(наименование)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</w:t>
      </w:r>
      <w:r>
        <w:rPr>
          <w:sz w:val="28"/>
          <w:szCs w:val="28"/>
          <w:highlight w:val="white"/>
        </w:rPr>
        <w:t xml:space="preserve">и гражданином 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>
        <w:rPr>
          <w:i/>
          <w:iCs/>
          <w:sz w:val="20"/>
          <w:szCs w:val="20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white"/>
        </w:rPr>
        <w:t xml:space="preserve">–</w:t>
      </w:r>
      <w:r>
        <w:rPr>
          <w:i/>
          <w:iCs/>
          <w:sz w:val="20"/>
          <w:szCs w:val="20"/>
          <w:highlight w:val="white"/>
        </w:rPr>
        <w:t xml:space="preserve">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widowControl w:val="off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6" cy="22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2;o:allowoverlap:true;o:allowincell:true;mso-position-horizontal-relative:text;margin-left:58.70pt;mso-position-horizontal:absolute;mso-position-vertical-relative:text;margin-top:1.7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eastAsia="Calibri"/>
          <w:sz w:val="28"/>
          <w:szCs w:val="28"/>
          <w:highlight w:val="white"/>
        </w:rPr>
        <w:t xml:space="preserve">«2)     </w:t>
      </w:r>
      <w:r>
        <w:rPr>
          <w:rFonts w:eastAsia="Calibri"/>
          <w:sz w:val="28"/>
          <w:szCs w:val="28"/>
          <w:highlight w:val="white"/>
        </w:rPr>
        <w:t xml:space="preserve">оказывать</w:t>
      </w:r>
      <w:r>
        <w:rPr>
          <w:rFonts w:eastAsia="Calibri"/>
          <w:sz w:val="28"/>
          <w:szCs w:val="28"/>
          <w:highlight w:val="white"/>
        </w:rPr>
        <w:t xml:space="preserve"> совместно с областным исполнительным органом </w:t>
      </w:r>
      <w:r>
        <w:rPr>
          <w:rFonts w:eastAsia="Calibri"/>
          <w:sz w:val="28"/>
          <w:szCs w:val="28"/>
          <w:highlight w:val="white"/>
        </w:rPr>
        <w:t xml:space="preserve">Новосибирской области, уполномоченным в сфере сельского хозяйства, органами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местного самоуправления Новосибирской области и организациями в сфере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сельского хозяйства содействие Получателю в осуществлении ведения им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личного подсобного хозяйства и реализации продукции личного подсобного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хозяйства;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12065</wp:posOffset>
                </wp:positionV>
                <wp:extent cx="304800" cy="222250"/>
                <wp:effectExtent l="6350" t="6350" r="6350" b="6350"/>
                <wp:wrapNone/>
                <wp:docPr id="5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222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2;o:allowoverlap:true;o:allowincell:true;mso-position-horizontal-relative:text;margin-left:34.70pt;mso-position-horizontal:absolute;mso-position-vertical-relative:text;margin-top:0.95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   </w:t>
      </w:r>
      <w:r>
        <w:rPr>
          <w:rFonts w:eastAsia="Calibri"/>
          <w:sz w:val="28"/>
          <w:szCs w:val="28"/>
          <w:highlight w:val="white"/>
        </w:rPr>
        <w:t xml:space="preserve">         совместно с налоговыми органами по Новосибирской области оказывать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содействие Получателю в постановке на учет в качестве налогоплательщика</w:t>
      </w:r>
      <w:r>
        <w:rPr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налога на профессиональный доход;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21590</wp:posOffset>
                </wp:positionV>
                <wp:extent cx="304800" cy="222250"/>
                <wp:effectExtent l="0" t="0" r="0" b="0"/>
                <wp:wrapNone/>
                <wp:docPr id="6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8" cy="22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2;o:allowoverlap:true;o:allowincell:true;mso-position-horizontal-relative:text;margin-left:34.70pt;mso-position-horizontal:absolute;mso-position-vertical-relative:text;margin-top:1.70pt;mso-position-vertical:absolute;width:24.00pt;height:17.5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осуществить Получателю денежную выплату</w:t>
      </w:r>
      <w:r>
        <w:rPr>
          <w:sz w:val="28"/>
          <w:szCs w:val="28"/>
          <w:highlight w:val="white"/>
        </w:rPr>
        <w:t xml:space="preserve"> единовременно или по частям в зависимости от этапа исполнения мероприятий программы социальной адаптации </w:t>
      </w:r>
      <w:r>
        <w:rPr>
          <w:sz w:val="28"/>
          <w:szCs w:val="28"/>
          <w:highlight w:val="white"/>
        </w:rPr>
        <w:t xml:space="preserve">и сметы расходов</w:t>
      </w:r>
      <w:r>
        <w:rPr>
          <w:sz w:val="28"/>
          <w:szCs w:val="28"/>
          <w:highlight w:val="white"/>
        </w:rPr>
        <w:t xml:space="preserve">, одобре</w:t>
      </w:r>
      <w:r>
        <w:rPr>
          <w:sz w:val="28"/>
          <w:szCs w:val="28"/>
          <w:highlight w:val="white"/>
        </w:rPr>
        <w:t xml:space="preserve">нных межведомственной комиссией, </w:t>
      </w:r>
      <w:r>
        <w:rPr>
          <w:sz w:val="28"/>
          <w:szCs w:val="28"/>
          <w:highlight w:val="white"/>
        </w:rPr>
        <w:t xml:space="preserve">с целью осуществления им личного подсобного хозяйства (в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соответствии со сметой расходов, </w:t>
      </w:r>
      <w:r>
        <w:rPr>
          <w:sz w:val="28"/>
          <w:szCs w:val="28"/>
          <w:highlight w:val="white"/>
        </w:rPr>
        <w:t xml:space="preserve">которая является приложением</w:t>
      </w:r>
      <w:r>
        <w:rPr>
          <w:sz w:val="28"/>
          <w:szCs w:val="28"/>
          <w:highlight w:val="white"/>
        </w:rPr>
        <w:t xml:space="preserve"> к плану развития личного подсобного хозяйства, но не более 200 000 рублей);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 денежные средства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687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</w:t>
      </w:r>
      <w:r>
        <w:rPr>
          <w:sz w:val="28"/>
          <w:szCs w:val="28"/>
          <w:highlight w:val="white"/>
        </w:rPr>
        <w:t xml:space="preserve">грамму социальной адаптации условия выплаты денежных средств по частям, в зависимости от исполнения мероприятий программы социальной адаптации, денежные средства на</w:t>
      </w:r>
      <w:r>
        <w:rPr>
          <w:sz w:val="28"/>
          <w:szCs w:val="28"/>
          <w:highlight w:val="white"/>
        </w:rPr>
        <w:t xml:space="preserve"> выполнение первого мероприятия программы социальной адаптации перечисляются в срок не более 90 дней со дня обращения 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Последующие выплаты осуществляются до 26 числа месяца, следующего за месяцем выполнения предыдущего мероприятия</w:t>
      </w:r>
      <w:r>
        <w:rPr>
          <w:sz w:val="28"/>
          <w:szCs w:val="28"/>
          <w:highlight w:val="white"/>
        </w:rPr>
        <w:t xml:space="preserve"> программы социальной адаптации.»;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в) абзац третий пункта 4 после слов «хозяйственные товары,» дополнить словами «основные средства,»;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в абзаце втором пункта 8 </w:t>
      </w:r>
      <w:r>
        <w:rPr>
          <w:sz w:val="28"/>
          <w:szCs w:val="28"/>
          <w:highlight w:val="white"/>
        </w:rPr>
        <w:t xml:space="preserve">слова «в налоговом органе» заменить словами </w:t>
      </w:r>
      <w:r>
        <w:rPr>
          <w:sz w:val="28"/>
          <w:szCs w:val="28"/>
          <w:highlight w:val="white"/>
        </w:rPr>
        <w:t xml:space="preserve">«в налоговом органе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Новосибирской области»;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д) пункт 9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9.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7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</w:t>
      </w:r>
      <w:r>
        <w:rPr>
          <w:sz w:val="28"/>
          <w:szCs w:val="28"/>
          <w:highlight w:val="white"/>
        </w:rPr>
        <w:t xml:space="preserve">трех</w:t>
      </w:r>
      <w:r>
        <w:rPr>
          <w:sz w:val="28"/>
          <w:szCs w:val="28"/>
          <w:highlight w:val="white"/>
        </w:rPr>
        <w:t xml:space="preserve"> рабочих дней со дня принятия </w:t>
      </w:r>
      <w:r>
        <w:rPr>
          <w:sz w:val="28"/>
          <w:szCs w:val="28"/>
          <w:highlight w:val="white"/>
        </w:rPr>
        <w:t xml:space="preserve">Учреждением </w:t>
      </w:r>
      <w:r>
        <w:rPr>
          <w:sz w:val="28"/>
          <w:szCs w:val="28"/>
          <w:highlight w:val="white"/>
        </w:rPr>
        <w:t xml:space="preserve">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</w:t>
      </w:r>
      <w:r>
        <w:rPr>
          <w:sz w:val="28"/>
          <w:szCs w:val="28"/>
          <w:highlight w:val="white"/>
        </w:rPr>
        <w:t xml:space="preserve">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форме социального контракта </w:t>
      </w:r>
      <w:r>
        <w:rPr>
          <w:sz w:val="28"/>
          <w:szCs w:val="28"/>
          <w:highlight w:val="white"/>
        </w:rPr>
        <w:t xml:space="preserve">по осуществлению иных мероприятий, направленных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преодоление заявителем трудной жизненной ситуации</w:t>
      </w:r>
      <w:r>
        <w:rPr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преамбулу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Настоящий социальный контракт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Контракт) заключен между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государственным казенным учреждением Новосибирской области «Центр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поддержки населения ________________________________________»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</w:t>
      </w:r>
      <w:r>
        <w:rPr>
          <w:i/>
          <w:iCs/>
          <w:sz w:val="20"/>
          <w:szCs w:val="20"/>
          <w:highlight w:val="white"/>
        </w:rPr>
        <w:t xml:space="preserve"> (наименование)</w:t>
      </w:r>
      <w:r>
        <w:rPr>
          <w:bCs/>
          <w:i/>
          <w:sz w:val="20"/>
          <w:szCs w:val="20"/>
          <w:highlight w:val="white"/>
        </w:rPr>
      </w:r>
      <w:r>
        <w:rPr>
          <w:bCs/>
          <w:i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(клиентской службой 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0"/>
          <w:szCs w:val="20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</w:t>
      </w:r>
      <w:r>
        <w:rPr>
          <w:sz w:val="20"/>
          <w:szCs w:val="20"/>
          <w:highlight w:val="white"/>
        </w:rPr>
        <w:t xml:space="preserve"> </w:t>
      </w:r>
      <w:r>
        <w:rPr>
          <w:i/>
          <w:iCs/>
          <w:sz w:val="20"/>
          <w:szCs w:val="20"/>
          <w:highlight w:val="white"/>
        </w:rPr>
        <w:t xml:space="preserve"> (наименование)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государственного казенного учреждения Новосибирской области «Центр социальной поддержки населения г. Новосибирска»), </w:t>
      </w:r>
      <w:r>
        <w:rPr>
          <w:sz w:val="28"/>
          <w:szCs w:val="28"/>
          <w:highlight w:val="white"/>
        </w:rPr>
        <w:t xml:space="preserve">именуемым в дальнейшем «Учреждение», в лице руководителя </w:t>
      </w:r>
      <w:r>
        <w:rPr>
          <w:sz w:val="28"/>
          <w:szCs w:val="28"/>
          <w:highlight w:val="white"/>
        </w:rPr>
        <w:t xml:space="preserve">______________________________________, действующего на основании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Устава (доверенности), </w:t>
      </w:r>
      <w:r>
        <w:rPr>
          <w:sz w:val="28"/>
          <w:szCs w:val="28"/>
          <w:highlight w:val="white"/>
        </w:rPr>
        <w:t xml:space="preserve">и гражданином 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0"/>
          <w:szCs w:val="20"/>
          <w:highlight w:val="white"/>
        </w:rPr>
      </w:pPr>
      <w:r>
        <w:rPr>
          <w:i/>
          <w:iCs/>
          <w:sz w:val="20"/>
          <w:szCs w:val="20"/>
          <w:highlight w:val="white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0"/>
          <w:szCs w:val="20"/>
          <w:highlight w:val="white"/>
        </w:rPr>
        <w:t xml:space="preserve">–</w:t>
      </w:r>
      <w:r>
        <w:rPr>
          <w:i/>
          <w:iCs/>
          <w:sz w:val="20"/>
          <w:szCs w:val="20"/>
          <w:highlight w:val="white"/>
        </w:rPr>
        <w:t xml:space="preserve"> при наличии)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документа, удостоверяющего личность: 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проживающим по адресу: 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именуемым в дальнейшем «Получатель», вместе именуемыми Сторонами.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190448</wp:posOffset>
                </wp:positionV>
                <wp:extent cx="304800" cy="222250"/>
                <wp:effectExtent l="0" t="0" r="0" b="0"/>
                <wp:wrapNone/>
                <wp:docPr id="7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796" cy="22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42;o:allowoverlap:true;o:allowincell:true;mso-position-horizontal-relative:text;margin-left:58.70pt;mso-position-horizontal:absolute;mso-position-vertical-relative:text;margin-top:15.00pt;mso-position-vertical:absolute;width:24.00pt;height:17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подпункт 2 пункта 2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390655</wp:posOffset>
                </wp:positionV>
                <wp:extent cx="304800" cy="190500"/>
                <wp:effectExtent l="6350" t="6350" r="6350" b="6350"/>
                <wp:wrapNone/>
                <wp:docPr id="8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047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42;o:allowoverlap:true;o:allowincell:true;mso-position-horizontal-relative:text;margin-left:34.70pt;mso-position-horizontal:absolute;mso-position-vertical-relative:text;margin-top:30.76pt;mso-position-vertical:absolute;width:24.00pt;height:15.00pt;mso-wrap-distance-left:9.00pt;mso-wrap-distance-top:0.00pt;mso-wrap-distance-right:9.00pt;mso-wrap-distance-bottom:0.00pt;rotation:0;visibility:visible;" fillcolor="#FFFFFF" strokecolor="#000000"/>
            </w:pict>
          </mc:Fallback>
        </mc:AlternateContent>
      </w:r>
      <w:r>
        <w:rPr>
          <w:sz w:val="28"/>
          <w:szCs w:val="28"/>
          <w:highlight w:val="white"/>
        </w:rPr>
        <w:t xml:space="preserve">«2)   </w:t>
      </w:r>
      <w:r>
        <w:rPr>
          <w:rFonts w:eastAsia="Calibri"/>
          <w:sz w:val="28"/>
          <w:szCs w:val="28"/>
          <w:highlight w:val="white"/>
        </w:rPr>
        <w:t xml:space="preserve">оказывать содействие в исполнении мероприятий программы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социальной адаптации,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существлять в период действия Контракта денежную выплату в размере величины прожиточного минимума для трудоспособного</w:t>
      </w:r>
      <w:r>
        <w:rPr>
          <w:sz w:val="28"/>
          <w:szCs w:val="28"/>
          <w:highlight w:val="white"/>
        </w:rPr>
        <w:t xml:space="preserve"> населения на период действия социального контракта. При этом общий период выплат в рамках данного мероприятия не может превышать шесть месяцев. Выплата может осуществляться как ежемесячно, так и единовременно за весь период действия Контр</w:t>
      </w:r>
      <w:r>
        <w:rPr>
          <w:sz w:val="28"/>
          <w:szCs w:val="28"/>
          <w:highlight w:val="white"/>
        </w:rPr>
        <w:t xml:space="preserve">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Размер единовременной выплаты определяется путем умножения величины прожиточного минимума для трудоспособного населения на количество месяцев, на которые </w:t>
      </w:r>
      <w:r>
        <w:rPr>
          <w:sz w:val="28"/>
          <w:szCs w:val="28"/>
          <w:highlight w:val="white"/>
        </w:rPr>
        <w:t xml:space="preserve">заключается Контракт.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осуществления получателю денежной выплаты единовременно, денежные средства перечисляются в срок не более 90 дней со дня обращения с заявлением о назначении государственной социальной помощи на основании социального контракта.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включения в программу социальной адаптации условия выплаты денежных средств ежемесячно, в зависимости от исполнения мероприятий программы социальной адаптации, денежные средства на выполнение первого мероприятия </w:t>
      </w:r>
      <w:r>
        <w:rPr>
          <w:sz w:val="28"/>
          <w:szCs w:val="28"/>
          <w:highlight w:val="white"/>
        </w:rPr>
        <w:t xml:space="preserve">программы социальной адаптации перечисляются в срок не более 90 дней со дня обращения с </w:t>
      </w:r>
      <w:r>
        <w:rPr>
          <w:sz w:val="28"/>
          <w:szCs w:val="28"/>
          <w:highlight w:val="white"/>
        </w:rPr>
        <w:t xml:space="preserve">заявлением о назначении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. Последующие выплаты осуществляются до 26 числа месяца, следующего за месяцем выполнения предыдущего мероприятия программы социальной адаптации.»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пункт 7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 Основаниями для прекращения Контракта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государственная регистрация смерти (объявление умершим, признание безвестно отсутствующим) Получателя;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признание судом Получателя недееспособным или ограниченно дееспособным;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объявление в розыск Получателя;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выявление факта представления Получателем документов (сведений), содержащих неполную и (или) недостоверную информацию, если это влечет утрату права на государственную социальную помощь на основании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направление Получателя в места лишения свободы для отбытия наказания или применение в его отношении меры пресечения в виде заключения под стражу;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6) направление Получателя на принудительное лечение по решению суда;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 переезд Получателя на постоянное место жительства (место пребывания) в другой субъект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 нецелевое использование Получателем средств государственной социальной помощи на основании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9) неисполнение Получателем мероприятий, предусмотренных программой социальной адаптации, по причинам, не входящим в перечень причин, являющихся уважительными в случае неисполнения гражданином мероприятий программы социальной адаптации;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trike/>
          <w:highlight w:val="white"/>
        </w:rPr>
      </w:pPr>
      <w:r>
        <w:rPr>
          <w:sz w:val="28"/>
          <w:szCs w:val="28"/>
          <w:highlight w:val="white"/>
        </w:rPr>
        <w:t xml:space="preserve">10)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непредставление Получателем отчета в срок, установленный пунктом 4 Контракта, за исключением непредставления такого отчета по уважительным причинам;</w:t>
      </w:r>
      <w:r>
        <w:rPr>
          <w:strike/>
          <w:highlight w:val="white"/>
        </w:rPr>
      </w:r>
      <w:r>
        <w:rPr>
          <w:strike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11) представление Получателем заявления о досрочном расторжении Контракта;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12) непредставление Получателем подписанного дополнительного соглашения к Контракту в течение пяти рабочих дней со дня его получения;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13) невозможность исполнения мероприятий программы социальной адаптации Получателем, призванным на военную службу по мобилизации.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г) пункт 9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9. В случае невыполнения или ненадлежащего выполнения условий Контракта Получателем </w:t>
      </w:r>
      <w:r>
        <w:rPr>
          <w:sz w:val="28"/>
          <w:szCs w:val="28"/>
          <w:highlight w:val="white"/>
        </w:rPr>
        <w:t xml:space="preserve">выплата государственной социальной помощи, предусмотренной пунктом 2 Контракта, </w:t>
      </w:r>
      <w:r>
        <w:rPr>
          <w:sz w:val="28"/>
          <w:szCs w:val="28"/>
          <w:highlight w:val="white"/>
        </w:rPr>
        <w:t xml:space="preserve">прекращается начиная с месяца, следующего за месяцем, в котором Учреждению стало известно о возникновении оснований для прекращения Контракта, предусмотренных пунктом 7 Контракта. В этом случае </w:t>
      </w:r>
      <w:r>
        <w:rPr>
          <w:sz w:val="28"/>
          <w:szCs w:val="28"/>
          <w:highlight w:val="white"/>
        </w:rPr>
        <w:t xml:space="preserve">Контракт расторгается в одностороннем порядке, с письменным уведомлением Получателя не позднее </w:t>
      </w:r>
      <w:r>
        <w:rPr>
          <w:sz w:val="28"/>
          <w:szCs w:val="28"/>
          <w:highlight w:val="white"/>
        </w:rPr>
        <w:t xml:space="preserve">трех </w:t>
      </w:r>
      <w:r>
        <w:rPr>
          <w:sz w:val="28"/>
          <w:szCs w:val="28"/>
          <w:highlight w:val="white"/>
        </w:rPr>
        <w:t xml:space="preserve">рабочих дней со дня принятия </w:t>
      </w:r>
      <w:r>
        <w:rPr>
          <w:sz w:val="28"/>
          <w:szCs w:val="28"/>
          <w:highlight w:val="white"/>
        </w:rPr>
        <w:t xml:space="preserve">Учреждением </w:t>
      </w:r>
      <w:r>
        <w:rPr>
          <w:sz w:val="28"/>
          <w:szCs w:val="28"/>
          <w:highlight w:val="white"/>
        </w:rPr>
        <w:t xml:space="preserve">решения </w:t>
      </w:r>
      <w:r>
        <w:rPr>
          <w:sz w:val="28"/>
          <w:szCs w:val="28"/>
          <w:highlight w:val="white"/>
        </w:rPr>
        <w:t xml:space="preserve">о расторжении Контракта.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</w:t>
      </w:r>
      <w:r>
        <w:rPr>
          <w:sz w:val="28"/>
          <w:szCs w:val="28"/>
          <w:highlight w:val="white"/>
        </w:rPr>
        <w:t xml:space="preserve">в приложении слова «</w:t>
      </w:r>
      <w:r>
        <w:rPr>
          <w:sz w:val="28"/>
          <w:szCs w:val="28"/>
          <w:highlight w:val="white"/>
        </w:rPr>
        <w:t xml:space="preserve">с заявлением о заключении социального </w:t>
      </w:r>
      <w:r>
        <w:rPr>
          <w:sz w:val="28"/>
          <w:szCs w:val="28"/>
          <w:highlight w:val="white"/>
        </w:rPr>
        <w:t xml:space="preserve">контракта»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с заявлением о назначении</w:t>
      </w:r>
      <w:r>
        <w:rPr>
          <w:sz w:val="28"/>
          <w:szCs w:val="28"/>
          <w:highlight w:val="white"/>
        </w:rPr>
        <w:t xml:space="preserve">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ункт 3 порядка формирования и работы межведомственной комиссии по вопросам заключения социальных контрактов после слов «учреждения Новосибирской области» дополнить </w:t>
      </w:r>
      <w:r>
        <w:rPr>
          <w:sz w:val="28"/>
          <w:szCs w:val="28"/>
          <w:highlight w:val="white"/>
        </w:rPr>
        <w:t xml:space="preserve">словами </w:t>
      </w:r>
      <w:r>
        <w:rPr>
          <w:sz w:val="28"/>
          <w:szCs w:val="28"/>
          <w:highlight w:val="white"/>
        </w:rPr>
        <w:t xml:space="preserve">(центра социальной поддержки населения города или района Новосибирской области), государственного казенного учреждения Новосибирской области «Центр социальной поддержки насе</w:t>
      </w:r>
      <w:r>
        <w:rPr>
          <w:sz w:val="28"/>
          <w:szCs w:val="28"/>
          <w:highlight w:val="white"/>
        </w:rPr>
        <w:t xml:space="preserve">ления г. Новосибирска» (к</w:t>
      </w:r>
      <w:r>
        <w:rPr>
          <w:sz w:val="28"/>
          <w:szCs w:val="28"/>
          <w:highlight w:val="white"/>
        </w:rPr>
        <w:t xml:space="preserve">лиентской службой)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порядке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</w:t>
      </w:r>
      <w:r>
        <w:rPr>
          <w:sz w:val="28"/>
          <w:szCs w:val="28"/>
          <w:highlight w:val="white"/>
        </w:rPr>
        <w:t xml:space="preserve"> пункт 2 </w:t>
      </w:r>
      <w:r>
        <w:rPr>
          <w:sz w:val="28"/>
          <w:szCs w:val="28"/>
          <w:highlight w:val="white"/>
        </w:rPr>
        <w:t xml:space="preserve">после сл</w:t>
      </w:r>
      <w:r>
        <w:rPr>
          <w:sz w:val="28"/>
          <w:szCs w:val="28"/>
          <w:highlight w:val="white"/>
        </w:rPr>
        <w:t xml:space="preserve">ов «учреждение Новосибирской области» дополнить </w:t>
      </w:r>
      <w:r>
        <w:rPr>
          <w:sz w:val="28"/>
          <w:szCs w:val="28"/>
          <w:highlight w:val="white"/>
        </w:rPr>
        <w:t xml:space="preserve">словами </w:t>
      </w:r>
      <w:r>
        <w:rPr>
          <w:sz w:val="28"/>
          <w:szCs w:val="28"/>
          <w:highlight w:val="white"/>
        </w:rPr>
        <w:t xml:space="preserve">(центр социальной поддержки населения города или района Новосибирской области), государственное казенное учреждение Новосибирской области «Центр социальной поддержки насе</w:t>
      </w:r>
      <w:r>
        <w:rPr>
          <w:sz w:val="28"/>
          <w:szCs w:val="28"/>
          <w:highlight w:val="white"/>
        </w:rPr>
        <w:t xml:space="preserve">ления г. Новосибирска» (к</w:t>
      </w:r>
      <w:r>
        <w:rPr>
          <w:sz w:val="28"/>
          <w:szCs w:val="28"/>
          <w:highlight w:val="white"/>
        </w:rPr>
        <w:t xml:space="preserve">лиентскую службу)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в </w:t>
      </w:r>
      <w:r>
        <w:rPr>
          <w:sz w:val="28"/>
          <w:szCs w:val="28"/>
          <w:highlight w:val="white"/>
        </w:rPr>
        <w:t xml:space="preserve">абзаце первом пункта 4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порядке </w:t>
      </w:r>
      <w:r>
        <w:rPr>
          <w:sz w:val="28"/>
          <w:szCs w:val="28"/>
          <w:highlight w:val="white"/>
        </w:rPr>
        <w:t xml:space="preserve">прекращения оказания государственной социальной помощи на основании социального контракта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пункт 3 </w:t>
      </w:r>
      <w:r>
        <w:rPr>
          <w:sz w:val="28"/>
          <w:szCs w:val="28"/>
          <w:highlight w:val="white"/>
        </w:rPr>
        <w:t xml:space="preserve">после сл</w:t>
      </w:r>
      <w:r>
        <w:rPr>
          <w:sz w:val="28"/>
          <w:szCs w:val="28"/>
          <w:highlight w:val="white"/>
        </w:rPr>
        <w:t xml:space="preserve">ов «учреждение Новосибирской области» дополнить </w:t>
      </w:r>
      <w:r>
        <w:rPr>
          <w:sz w:val="28"/>
          <w:szCs w:val="28"/>
          <w:highlight w:val="white"/>
        </w:rPr>
        <w:t xml:space="preserve">словами «</w:t>
      </w:r>
      <w:r>
        <w:rPr>
          <w:sz w:val="28"/>
          <w:szCs w:val="28"/>
          <w:highlight w:val="white"/>
        </w:rPr>
        <w:t xml:space="preserve">(центр социальной поддержки населения города или района Новосибирской области), государственное казенное учреждение Новосибирской области «Центр социальной поддержки насе</w:t>
      </w:r>
      <w:r>
        <w:rPr>
          <w:sz w:val="28"/>
          <w:szCs w:val="28"/>
          <w:highlight w:val="white"/>
        </w:rPr>
        <w:t xml:space="preserve">ления г. Новосибирска» (к</w:t>
      </w:r>
      <w:r>
        <w:rPr>
          <w:sz w:val="28"/>
          <w:szCs w:val="28"/>
          <w:highlight w:val="white"/>
        </w:rPr>
        <w:t xml:space="preserve">лиентскую службу)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абзаце втором пункта 5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) в п</w:t>
      </w:r>
      <w:r>
        <w:rPr>
          <w:sz w:val="28"/>
          <w:szCs w:val="28"/>
          <w:highlight w:val="white"/>
        </w:rPr>
        <w:t xml:space="preserve">риложении № 2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пункт 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после сл</w:t>
      </w:r>
      <w:r>
        <w:rPr>
          <w:sz w:val="28"/>
          <w:szCs w:val="28"/>
          <w:highlight w:val="white"/>
        </w:rPr>
        <w:t xml:space="preserve">ов «учреждение Новосибирской области» дополнить </w:t>
      </w:r>
      <w:r>
        <w:rPr>
          <w:sz w:val="28"/>
          <w:szCs w:val="28"/>
          <w:highlight w:val="white"/>
        </w:rPr>
        <w:t xml:space="preserve">словами «</w:t>
      </w:r>
      <w:r>
        <w:rPr>
          <w:sz w:val="28"/>
          <w:szCs w:val="28"/>
          <w:highlight w:val="white"/>
        </w:rPr>
        <w:t xml:space="preserve">(центр социальной поддержки населения города или района Новосибирской области), государственное казенное учреждение Новосибирской области «Центр социальной поддержки насе</w:t>
      </w:r>
      <w:r>
        <w:rPr>
          <w:sz w:val="28"/>
          <w:szCs w:val="28"/>
          <w:highlight w:val="white"/>
        </w:rPr>
        <w:t xml:space="preserve">ления г. Новосибирска» (к</w:t>
      </w:r>
      <w:r>
        <w:rPr>
          <w:sz w:val="28"/>
          <w:szCs w:val="28"/>
          <w:highlight w:val="white"/>
        </w:rPr>
        <w:t xml:space="preserve">лиентская служба)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пункте 7 </w:t>
      </w:r>
      <w:r>
        <w:rPr>
          <w:sz w:val="28"/>
          <w:szCs w:val="28"/>
          <w:highlight w:val="white"/>
        </w:rPr>
        <w:t xml:space="preserve">слова </w:t>
      </w:r>
      <w:r>
        <w:rPr>
          <w:sz w:val="28"/>
          <w:szCs w:val="28"/>
          <w:highlight w:val="white"/>
        </w:rPr>
        <w:t xml:space="preserve">«а</w:t>
      </w:r>
      <w:r>
        <w:rPr>
          <w:sz w:val="28"/>
          <w:szCs w:val="28"/>
          <w:highlight w:val="white"/>
        </w:rPr>
        <w:t xml:space="preserve"> также посредством» заменить словами «в том числе с использованием»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687"/>
        <w:jc w:val="both"/>
        <w:spacing w:after="1" w:line="280" w:lineRule="atLeast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Е.М. Москалева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687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238 75 22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СОГЛА</w:t>
      </w:r>
      <w:r>
        <w:rPr>
          <w:sz w:val="28"/>
          <w:szCs w:val="28"/>
          <w:highlight w:val="white"/>
        </w:rPr>
        <w:t xml:space="preserve">СОВАНО: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Первый заместитель Губернатора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Ю.Ф. Петухов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Заместитель Губернатора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1140" w:leader="none"/>
              </w:tabs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С.А. Нелюбов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Председателя Правительства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 – министр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финансов и налоговой политики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В.Ю. Голубенко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Министр юстиции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Т.Н. Деркач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И.о.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инистра труда и социального развития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              Е.М. Москалева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color w:val="ffffff"/>
          <w:sz w:val="20"/>
          <w:szCs w:val="20"/>
          <w:highlight w:val="white"/>
        </w:rPr>
      </w:pPr>
      <w:r>
        <w:rPr>
          <w:color w:val="ffffff"/>
          <w:sz w:val="20"/>
          <w:szCs w:val="20"/>
          <w:highlight w:val="white"/>
        </w:rPr>
        <w:t xml:space="preserve">й заместитель министра труда и </w:t>
      </w:r>
      <w:r>
        <w:rPr>
          <w:color w:val="ffffff"/>
          <w:sz w:val="20"/>
          <w:szCs w:val="20"/>
          <w:highlight w:val="white"/>
        </w:rPr>
      </w:r>
      <w:r>
        <w:rPr>
          <w:color w:val="ffffff"/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highlight w:val="white"/>
                <w:lang w:eastAsia="en-US"/>
              </w:rPr>
              <w:t xml:space="preserve">Начальник управления организации </w:t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</w:p>
          <w:p>
            <w:pPr>
              <w:rPr>
                <w:rFonts w:eastAsia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highlight w:val="white"/>
                <w:lang w:eastAsia="en-US"/>
              </w:rPr>
              <w:t xml:space="preserve">социальных выплат</w:t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rPr>
                <w:rFonts w:eastAsia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rPr>
                <w:rFonts w:eastAsia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highlight w:val="white"/>
                <w:lang w:eastAsia="en-US"/>
              </w:rPr>
              <w:t xml:space="preserve">Т.А. Мальцева</w:t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Calibri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  <w:lang w:eastAsia="en-US"/>
        </w:rPr>
        <w:t xml:space="preserve">Начальник правового управления               </w:t>
      </w: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Е.В. Нарубина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М.М. Иванникова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238 75 02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character" w:styleId="869">
    <w:name w:val="Strong"/>
    <w:qFormat/>
    <w:rPr>
      <w:b/>
      <w:bCs/>
    </w:rPr>
  </w:style>
  <w:style w:type="paragraph" w:styleId="870">
    <w:name w:val="Balloon Text"/>
    <w:basedOn w:val="687"/>
    <w:link w:val="871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71" w:customStyle="1">
    <w:name w:val="Текст выноски Знак"/>
    <w:link w:val="8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2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3" w:customStyle="1">
    <w:name w:val="Верхний колонтитул Знак"/>
    <w:link w:val="719"/>
    <w:uiPriority w:val="99"/>
    <w:rPr>
      <w:rFonts w:ascii="Times New Roman" w:hAnsi="Times New Roman" w:eastAsia="Times New Roman"/>
      <w:sz w:val="24"/>
      <w:szCs w:val="24"/>
    </w:rPr>
  </w:style>
  <w:style w:type="character" w:styleId="874" w:customStyle="1">
    <w:name w:val="Нижний колонтитул Знак"/>
    <w:link w:val="721"/>
    <w:uiPriority w:val="99"/>
    <w:rPr>
      <w:rFonts w:ascii="Times New Roman" w:hAnsi="Times New Roman" w:eastAsia="Times New Roman"/>
      <w:sz w:val="24"/>
      <w:szCs w:val="24"/>
    </w:rPr>
  </w:style>
  <w:style w:type="character" w:styleId="875">
    <w:name w:val="annotation reference"/>
    <w:uiPriority w:val="99"/>
    <w:semiHidden/>
    <w:unhideWhenUsed/>
    <w:rPr>
      <w:sz w:val="16"/>
      <w:szCs w:val="16"/>
    </w:rPr>
  </w:style>
  <w:style w:type="paragraph" w:styleId="876">
    <w:name w:val="annotation text"/>
    <w:basedOn w:val="687"/>
    <w:link w:val="877"/>
    <w:uiPriority w:val="99"/>
    <w:semiHidden/>
    <w:unhideWhenUsed/>
    <w:rPr>
      <w:sz w:val="20"/>
      <w:szCs w:val="20"/>
      <w:lang w:val="en-US" w:eastAsia="en-US"/>
    </w:rPr>
  </w:style>
  <w:style w:type="character" w:styleId="877" w:customStyle="1">
    <w:name w:val="Текст примечания Знак"/>
    <w:link w:val="876"/>
    <w:uiPriority w:val="99"/>
    <w:semiHidden/>
    <w:rPr>
      <w:rFonts w:ascii="Times New Roman" w:hAnsi="Times New Roman" w:eastAsia="Times New Roman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link w:val="878"/>
    <w:uiPriority w:val="99"/>
    <w:semiHidden/>
    <w:rPr>
      <w:rFonts w:ascii="Times New Roman" w:hAnsi="Times New Roman" w:eastAsia="Times New Roman"/>
      <w:b/>
      <w:bCs/>
    </w:rPr>
  </w:style>
  <w:style w:type="paragraph" w:styleId="88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81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E6F694A679284192B6CD3FA1304983448C8C8AA57255F295CBC44132C0DE45CD0B79C77CFE370CEB86EE42B724D5C721C488A2243BDBE6999015359DPFg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revision>65</cp:revision>
  <dcterms:created xsi:type="dcterms:W3CDTF">2023-04-17T03:42:00Z</dcterms:created>
  <dcterms:modified xsi:type="dcterms:W3CDTF">2024-04-16T05:42:25Z</dcterms:modified>
  <cp:version>917504</cp:version>
</cp:coreProperties>
</file>