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jc w:val="right"/>
        <w:widowControl w:val="off"/>
        <w:rPr>
          <w:bCs/>
          <w:highlight w:val="none"/>
        </w:rPr>
      </w:pPr>
      <w:r>
        <w:rPr>
          <w:bCs/>
          <w:highlight w:val="none"/>
        </w:rPr>
        <w:t xml:space="preserve">Проект</w:t>
      </w:r>
      <w:r>
        <w:rPr>
          <w:bCs/>
          <w:highlight w:val="none"/>
        </w:rPr>
      </w:r>
      <w:r/>
    </w:p>
    <w:p>
      <w:pPr>
        <w:pStyle w:val="902"/>
        <w:jc w:val="right"/>
        <w:widowControl w:val="off"/>
        <w:rPr>
          <w:bCs/>
          <w:highlight w:val="none"/>
        </w:rPr>
      </w:pPr>
      <w:r>
        <w:rPr>
          <w:bCs/>
          <w:highlight w:val="none"/>
        </w:rPr>
        <w:t xml:space="preserve">постановлени</w:t>
      </w:r>
      <w:r>
        <w:rPr>
          <w:bCs/>
          <w:highlight w:val="none"/>
        </w:rPr>
        <w:t xml:space="preserve">я</w:t>
      </w: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Правительства</w:t>
      </w:r>
      <w:r>
        <w:rPr>
          <w:bCs/>
          <w:highlight w:val="none"/>
        </w:rPr>
      </w:r>
      <w:r/>
    </w:p>
    <w:p>
      <w:pPr>
        <w:pStyle w:val="902"/>
        <w:jc w:val="right"/>
        <w:widowControl w:val="off"/>
        <w:rPr>
          <w:bCs/>
          <w:highlight w:val="none"/>
        </w:rPr>
      </w:pPr>
      <w:r>
        <w:rPr>
          <w:bCs/>
          <w:highlight w:val="none"/>
        </w:rPr>
        <w:t xml:space="preserve">Новосибирской области</w:t>
      </w:r>
      <w:r>
        <w:rPr>
          <w:bCs/>
          <w:highlight w:val="none"/>
        </w:rPr>
      </w:r>
      <w:r/>
    </w:p>
    <w:p>
      <w:pPr>
        <w:pStyle w:val="902"/>
        <w:jc w:val="center"/>
        <w:spacing w:after="0" w:afterAutospacing="0" w:line="240" w:lineRule="auto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jc w:val="both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внесении изменений в постановление Правительства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16.02.2015 № 66-п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 о с т а н о в л я е 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Внести в постановление Правительства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16.02.2015 № 66-п «Об утверждении государственной программы Новосибирской области «Жилищно-коммунальное хозяйство Новосибирской области»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 – постановление)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государственной программе Новосибирской области «Жилищно-коммунальное хозяйство Новосибирской области» (далее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Программа):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приложении № 7 к Программе «Подпрограмма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– подпрограмма)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пункте 1. подраздела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Система основных мероприятий подпрограммы,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реализуемых с 2019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раздела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IV «Характеристика мероприятий подпрограммы»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 абзаца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двадцать первого дополнить абзацем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редоставления и расходования субсидий местным бюджетам на реализацию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госу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дарственной программы Новосибирской области «Жилищно-коммунальное хозяйство Новосибирской области»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приведен в приложении № 26 к государственной программе.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приложении №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 к Программе «Порядок предоставления и распределен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субсидий местным бюджетам на реализацию программ формирования современной городской среды подпрограммы «Благоустройство территорий населенных пунктов» государственной программы Новосибирской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ласти «Жилищно-коммунальное хозяйство Новосибирской области»: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подпункт 5 пункта 5 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5) наличие экспертного заключения государственной экспертизы на проектную документацию и/или сметный расчет в отношении общественных пространств и дворовых территорий многоквартирных домов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Э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кспертное заключение государственной экспертизы на проектную документацию предоставляется в отношении объектов благоустройства, при выполнении работ на которых затрагиваются элементы, влияющие на безопасность использования общественных и дворовых территор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ий.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Экспертное заключение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сметный расчет предоставляется в отношении объектов благоустройства при выполнении работ на которых не затрагиваются элементы, влияющие на безопасность использования общественных и дворовых территорий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Данное требование распространяется на объекты благоустройства в отношении которых не получено экспертное заключение до 01.01.2024.»;</w:t>
      </w: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в абзаце «в» подпункта 4 пункта 9 после слов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«на проектную документацию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дополнить словами «и/или сметный расчет»;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9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дополнить подпунктами следующего содержания: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24)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аличие сметных расчетов, в рамках проектной документации, получившей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экспертное заключение государственной экспертизы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, на выполнение работ по благоустройству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текущем уровн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цен года реализации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25)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обеспечение: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начала работ по благоустройству не позднее 1 июня года предоставления субсидии;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выполнения работ не менее 30% от общего объема, предусмотренного в год предоставления субсидии не позднее 1 июля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года предоставления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завершения работ по благоустройству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 позднее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1 ноября года предоставления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26) обеспечение финансирования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 позднее 1 июля не менее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30% от общего объема субсидии, предоставляемой в текущем году;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позднее 1 августа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не менее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 менее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60% от общего объема субсидии, предоставляемой в текущем году;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 позднее 1 декабря 100%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от общего объема субсидии, предоставляемой в текущем году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4) абзац первый пункта 12 после слова «субсидий» дополнить словами «(в том числе на оплату аванса)».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В приложении № 21 к Программе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и распределения субсидий местным бюджетам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обеспечение мероприятий по организации благоустройства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дворовых территорий многоквартирных домов, территорий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пользования подпрограммы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Благоустройство территорий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населенных пунктов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государственной программы Новосибирской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Жилищно-коммунальное хозяйство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900"/>
        <w:numPr>
          <w:ilvl w:val="0"/>
          <w:numId w:val="15"/>
        </w:numPr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первый подпункта 2 пункта 4 изложить в новой редакции: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«2)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образования, в целях софинансирования которых предоставляется субсидия,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пределах уровня софинансирования, предусмотренного распоряжением Правительства Новосибирской области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предельных уровнях софинансирования на очередной фи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нансовый год и плановый период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для каждого муниципального района, муниципального округа и городского округа.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в пункте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8: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«б» подпункта 4 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«б)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копий экспертного заключения государственной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на проектную документацию и/или сметный расчет в отношении общественных пространств и дворовых территорий многоквартирных домов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/>
      <w:r/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Э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кспертное заключение государственной экспертизы на проектную документацию предоставляется в отношении объектов благоустройства, при выполнении работ на которых затрагиваются элементы, влияющие на безопасность использования общественных и дворовых территор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ий.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Экспертное заключение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сметный расчет предостав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ляется в отношении объектов благоустройства при выполнении работ на которых не затрагиваются элементы влияющие на безопасность использования общественных и дворовых территорий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дополнить подпунктами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«8) заключение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муниципальных контрактов (договоров)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срок не позднее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 апреля года предоставления субсидии, за исключением случаев: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обжалован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действий (бездействия) заказчика и (или) комиссии по осуществлению закупок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проведения повторного конкурса или новой закупки, если конкурс признан не состоявшимся по основаниям, предусмотренным законодательством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Российской Федерации, при которых срок заключения таких муниципальных контрактов продлевается на срок проведения конкурсных процедур;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заклю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чения таких муниципальных контрактов в пределах экономии средств при расходовании субсидии в целях реализации муниципальных программ, при которых срок заключения таких муниципальных контрактов продлевается на срок до 15 декабря года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Неисполнение условия влечет уменьшение предусмотренных лимитов бюджетных ассигнований в размере не законтрактованных средств.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Условие распространяется на лимиты бюджетных ассигнований, доведенных до муниципального образования Новосибирской области не позднее 15 февраля, года предоставления субсидии.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9) 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аличие сметных расчетов на выполнение работ по благоустройству в текущем уровне цен года реализации.»;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абзац первый пункта 11 после слова «субсидий» дополнить словами «(в том числе на оплату аванса)»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приложении №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24 к Программе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орядок предоставления и распределения субсидий на обеспечение мероприятий по оказанию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ктов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  <w:t xml:space="preserve">1)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 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Уровень софинансирования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Новосибирской областью объема расходных обязательств муниципальных образований, предусмотренный в целях содействия местным бюджетам в осуществлении полномочий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разработке проектной документации на благоустройство общественных пространств населенных пунктов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устанавливается в пределах уровня софинансирования, предусмотренного распоряжением Правительства Новосибирской области о предельных уровнях софинансирования на очередной фи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2) пункт 9 дополнить подпунктом 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«9) заключение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муниципальных контрактов (договоров)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в срок не позднее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1 апреля года предоставления субсидии, за исключением случаев:</w:t>
      </w: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- обжалования действий (бездействия) заказчика и (или) комиссии по осуществлению закупок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обжалования;</w:t>
      </w: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- проведения повторного конкурса или новой закупки, если конкурс признан не состоявшимся по основаниям, предусмотренным законодательством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Российской Федерации, при которых срок заключения таких муниципальных контрактов продлевается на срок проведения конкурсных процедур;</w:t>
      </w: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- заклю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чения таких муниципальных контрактов в пределах экономии средств при расходовании субсидии в целях реализации муниципальных программ, при которых срок заключения таких муниципальных контрактов продлевается на срок до 15 декабря года предоставления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Неисполнение условия влечет уменьшение предусмотренных лимитов бюджетных ассигнований в размере не законтрактованных средств.</w:t>
      </w: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Условие распространяется на лимиты бюджетных ассигнований, доведенных до муниципального образования Новосибирской области не позднее 15 февраля года предоставления субсидии.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абзац первый пункта 12 после слова «субсидий» дополнить словами «(в том числе на оплату аванса)»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Дополнить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Программу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№26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Порядок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редоставления и расходования субсидий местным бюджетам на реализацию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госу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дарственной программы Новосибирской области «Жилищно-коммунальное хозяйство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согласно приложению №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к настоящему постановлению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6. Приложение № 16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к постановлению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Правительства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от 16.02.2015 № 66-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орядок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предоставления иных межбюджетных трансфертов на поощрение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муниципальных образований - победителей всероссийского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конкурса лучших проектов создания комфортной городской среды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 рамках подпрограммы «Благоустройство территорий населенных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пунктов» государственной программы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«жилищно-коммунальное хозяйство Новосибирской области» признать утратившим силу.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Губернатор Новосибирской области                                                А.А. Травников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Д.Н. Архипов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238-61-56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/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</w:rPr>
        <w:t xml:space="preserve">СОГЛАСОВАНО: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tbl>
      <w:tblPr>
        <w:tblW w:w="100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6"/>
        <w:gridCol w:w="7"/>
        <w:gridCol w:w="2261"/>
        <w:gridCol w:w="7"/>
        <w:gridCol w:w="2402"/>
      </w:tblGrid>
      <w:tr>
        <w:trPr>
          <w:trHeight w:val="563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В.М. Знатков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515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С.Н. Сёмка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1205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Заместитель Председателя Правительства Новосибирской области ‒ министр финансов и налоговой политики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В.Ю. Голубенко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625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инистр экономического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Л.Н. Решетников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78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инистр юстиции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Т.Н. Деркач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894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инистр жилищно‒коммунального хозяйства и энергетики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Д.Н. Архипов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1142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ачальник управления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финансово-экономического обеспечения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жилищно-коммунального хозяйства и энергетики Новосибирской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Т.С. Бусловская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1313"/>
        </w:trPr>
        <w:tc>
          <w:tcPr>
            <w:tcW w:w="5386" w:type="dxa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отдела организационно-правового и кадрового обеспечения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жилищно-коммунального хозяйства и энергетики Новосибирской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W w:w="240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С.Г. Чикинева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1076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Консультант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министерства жилищно-коммунального хозяйства и энергетики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2402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И.А. Шульга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</w:tbl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spacing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Г.А. Катцин</w:t>
      </w:r>
      <w:r/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238 76 27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/>
  </w:p>
  <w:p>
    <w:pPr>
      <w:pStyle w:val="74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6"/>
    <w:next w:val="896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6"/>
    <w:next w:val="896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basedOn w:val="8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2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6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</w:style>
  <w:style w:type="table" w:styleId="8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paragraph" w:styleId="899">
    <w:name w:val="No Spacing"/>
    <w:basedOn w:val="896"/>
    <w:uiPriority w:val="1"/>
    <w:qFormat/>
    <w:pPr>
      <w:spacing w:after="0" w:line="240" w:lineRule="auto"/>
    </w:pPr>
  </w:style>
  <w:style w:type="paragraph" w:styleId="900">
    <w:name w:val="List Paragraph"/>
    <w:basedOn w:val="896"/>
    <w:uiPriority w:val="34"/>
    <w:qFormat/>
    <w:pPr>
      <w:contextualSpacing/>
      <w:ind w:left="720"/>
    </w:pPr>
  </w:style>
  <w:style w:type="character" w:styleId="901" w:default="1">
    <w:name w:val="Default Paragraph Font"/>
    <w:uiPriority w:val="1"/>
    <w:semiHidden/>
    <w:unhideWhenUsed/>
  </w:style>
  <w:style w:type="paragraph" w:styleId="902" w:customStyle="1">
    <w:name w:val="Body Text"/>
    <w:basedOn w:val="762"/>
    <w:link w:val="79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3" w:customStyle="1">
    <w:name w:val="ConsPlusNormal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modified xsi:type="dcterms:W3CDTF">2024-01-11T08:50:52Z</dcterms:modified>
</cp:coreProperties>
</file>