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0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5214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3850495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4988" cy="6521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pt;height:51.3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8"/>
          <w:szCs w:val="28"/>
        </w:rPr>
      </w:r>
      <w:r/>
    </w:p>
    <w:p>
      <w:pPr>
        <w:contextualSpacing/>
        <w:ind w:firstLine="0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contextualSpacing/>
        <w:ind w:firstLine="0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ЖИЛИЩНО-КОММУНАЛЬНОГО ХОЗЯЙСТВА И ЭНЕ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ГЕТИКИ НОВОСИБИРСКОЙ ОБЛАСТИ</w:t>
      </w:r>
      <w:r>
        <w:rPr>
          <w:b/>
          <w:sz w:val="28"/>
          <w:szCs w:val="28"/>
        </w:rPr>
      </w:r>
      <w:r/>
    </w:p>
    <w:p>
      <w:pPr>
        <w:pStyle w:val="902"/>
        <w:jc w:val="center"/>
        <w:tabs>
          <w:tab w:val="left" w:pos="255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/>
    </w:p>
    <w:p>
      <w:pPr>
        <w:pStyle w:val="90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 проекту постановления Правительства Новосибирской области</w:t>
      </w:r>
      <w:r>
        <w:rPr>
          <w:b/>
          <w:sz w:val="28"/>
          <w:szCs w:val="28"/>
          <w:lang w:eastAsia="en-US"/>
        </w:rPr>
      </w:r>
      <w:r/>
    </w:p>
    <w:p>
      <w:pPr>
        <w:pStyle w:val="90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«</w:t>
      </w:r>
      <w:r>
        <w:rPr>
          <w:b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от 16.02.2015 № 66</w:t>
      </w:r>
      <w:r>
        <w:rPr>
          <w:b/>
          <w:sz w:val="28"/>
          <w:szCs w:val="28"/>
          <w:lang w:eastAsia="en-US"/>
        </w:rPr>
        <w:t xml:space="preserve">-</w:t>
      </w:r>
      <w:r>
        <w:rPr>
          <w:b/>
          <w:sz w:val="28"/>
          <w:szCs w:val="28"/>
          <w:lang w:eastAsia="en-US"/>
        </w:rPr>
        <w:t xml:space="preserve">п»</w:t>
      </w:r>
      <w:r>
        <w:rPr>
          <w:b/>
          <w:sz w:val="28"/>
          <w:szCs w:val="28"/>
          <w:lang w:eastAsia="en-US"/>
        </w:rPr>
      </w:r>
      <w:r/>
    </w:p>
    <w:p>
      <w:pPr>
        <w:pStyle w:val="902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/>
    </w:p>
    <w:p>
      <w:pPr>
        <w:pStyle w:val="902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</w:t>
      </w:r>
      <w:r>
        <w:rPr>
          <w:sz w:val="27"/>
          <w:szCs w:val="27"/>
        </w:rPr>
        <w:t xml:space="preserve">инистерство жилищно-коммунального хозяйства и энергетики Новосибирской области предлагает к рассмотрению проект изменений в </w:t>
      </w:r>
      <w:r>
        <w:rPr>
          <w:sz w:val="27"/>
          <w:szCs w:val="27"/>
        </w:rPr>
        <w:t xml:space="preserve">государственную программу Новосибирской области «Жилищно-коммунальное х</w:t>
      </w:r>
      <w:r>
        <w:rPr>
          <w:sz w:val="27"/>
          <w:szCs w:val="27"/>
        </w:rPr>
        <w:t xml:space="preserve">озяйство Новосибирской области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 xml:space="preserve">(далее – </w:t>
      </w:r>
      <w:r>
        <w:rPr>
          <w:sz w:val="27"/>
          <w:szCs w:val="27"/>
        </w:rPr>
        <w:t xml:space="preserve">проект</w:t>
      </w:r>
      <w:r>
        <w:rPr>
          <w:sz w:val="27"/>
          <w:szCs w:val="27"/>
        </w:rPr>
        <w:t xml:space="preserve">).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  <w:t xml:space="preserve">1. 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Приложение № 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20 к Программе «Порядок предоставления и распределен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ия субсидий местным бюджетам на реализацию программ формирования современной городской среды подпрограммы «Благоустройство территорий населенных пунктов» государственной программы Новосибирской о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б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ласти «Жилищно-коммунально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е хозяйство Новосибирской области» дополнено условиями о наличии </w:t>
      </w:r>
      <w:r>
        <w:rPr>
          <w:rFonts w:ascii="Times New Roman" w:hAnsi="Times New Roman" w:cs="Times New Roman"/>
          <w:sz w:val="27"/>
          <w:szCs w:val="27"/>
          <w:highlight w:val="none"/>
          <w:lang w:eastAsia="en-US"/>
        </w:rPr>
        <w:t xml:space="preserve">экспертного заключения </w:t>
      </w:r>
      <w:r>
        <w:rPr>
          <w:rFonts w:ascii="Times New Roman" w:hAnsi="Times New Roman" w:cs="Times New Roman"/>
          <w:sz w:val="27"/>
          <w:szCs w:val="27"/>
          <w:highlight w:val="none"/>
          <w:lang w:eastAsia="en-US"/>
        </w:rPr>
        <w:t xml:space="preserve">ГБУ НСО Государственная вневедомственная экспертиза Новосибирской области на выполнение работ по благоустройству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, а также условиями направленными на </w:t>
      </w:r>
      <w:r>
        <w:rPr>
          <w:sz w:val="27"/>
          <w:szCs w:val="27"/>
          <w:lang w:eastAsia="en-US"/>
        </w:rPr>
        <w:t xml:space="preserve">исключения риска не освоения денежных средств муниципальными образованиями Новосибирской области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.</w:t>
      </w:r>
      <w:r>
        <w:rPr>
          <w:rFonts w:ascii="Times New Roman" w:hAnsi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  <w14:ligatures w14:val="none"/>
        </w:rPr>
        <w:t xml:space="preserve">2. 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Приложения № 21 к Программе «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Порядок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предоставления и распределения субсидий местным бюджетам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на обеспечение мероприятий по организации благоустройства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дворовых территорий многоквартирных домов, территорий общего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пользования подпрограммы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«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Благоустройство территорий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населенных пунктов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»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государственной программы Новосибирской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о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бласти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«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Жилищно-коммунальное хозяйство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» 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№ 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24 к Программе «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орядок предоставления и распределения субсидий на обеспечение мероприятий по оказанию государственной поддержки муниципальным образованиям Новосибирской области на разработку проектной документации на благоустройство общественных пространств населенных пун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ктов Новосибирской области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дополнены сл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едующими условиями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:</w:t>
      </w:r>
      <w:r>
        <w:rPr>
          <w:rFonts w:ascii="Times New Roman" w:hAnsi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pStyle w:val="742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sz w:val="27"/>
          <w:szCs w:val="27"/>
          <w:highlight w:val="none"/>
          <w14:ligatures w14:val="none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sz w:val="27"/>
          <w:szCs w:val="27"/>
          <w:highlight w:val="none"/>
          <w:lang w:eastAsia="en-US"/>
        </w:rPr>
        <w:t xml:space="preserve">о </w:t>
      </w:r>
      <w:r>
        <w:rPr>
          <w:sz w:val="27"/>
          <w:szCs w:val="27"/>
          <w:highlight w:val="none"/>
          <w:lang w:eastAsia="en-US"/>
        </w:rPr>
        <w:t xml:space="preserve">предельной дате заключения муниципального контракта (договора)</w:t>
      </w:r>
      <w:r>
        <w:rPr>
          <w:sz w:val="27"/>
          <w:szCs w:val="27"/>
          <w:highlight w:val="none"/>
          <w:lang w:eastAsia="en-US"/>
        </w:rPr>
        <w:t xml:space="preserve">, </w:t>
      </w:r>
      <w:r>
        <w:rPr>
          <w:sz w:val="27"/>
          <w:szCs w:val="27"/>
          <w:highlight w:val="none"/>
          <w:lang w:eastAsia="en-US"/>
        </w:rPr>
        <w:t xml:space="preserve">в</w:t>
      </w:r>
      <w:r>
        <w:rPr>
          <w:sz w:val="27"/>
          <w:szCs w:val="27"/>
          <w:highlight w:val="none"/>
          <w:lang w:eastAsia="en-US"/>
        </w:rPr>
        <w:t xml:space="preserve"> целях исключения риска не освоения денежных средств муниципальными образованиями Новосибирской области,</w:t>
      </w:r>
      <w:r>
        <w:rPr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pStyle w:val="742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sz w:val="27"/>
          <w:szCs w:val="27"/>
          <w:highlight w:val="none"/>
          <w:lang w:eastAsia="en-US"/>
        </w:rPr>
        <w:t xml:space="preserve"> </w:t>
      </w:r>
      <w:r>
        <w:rPr>
          <w:sz w:val="27"/>
          <w:szCs w:val="27"/>
          <w:highlight w:val="none"/>
          <w:lang w:eastAsia="en-US"/>
        </w:rPr>
        <w:t xml:space="preserve">о </w:t>
      </w:r>
      <w:r>
        <w:rPr>
          <w:sz w:val="27"/>
          <w:szCs w:val="27"/>
          <w:highlight w:val="none"/>
          <w:lang w:eastAsia="en-US"/>
        </w:rPr>
        <w:t xml:space="preserve">наличии сметных расчетов в актуальном уровне цен,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pStyle w:val="742"/>
        <w:numPr>
          <w:ilvl w:val="0"/>
          <w:numId w:val="21"/>
        </w:numPr>
        <w:ind w:left="0" w:right="0" w:firstLine="709"/>
        <w:jc w:val="both"/>
        <w:spacing w:after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none"/>
          <w:lang w:eastAsia="en-US"/>
        </w:rPr>
        <w:t xml:space="preserve">получение экспертного заключения </w:t>
      </w:r>
      <w:r>
        <w:rPr>
          <w:sz w:val="27"/>
          <w:szCs w:val="27"/>
          <w:highlight w:val="none"/>
          <w:lang w:eastAsia="en-US"/>
        </w:rPr>
        <w:t xml:space="preserve">ГБУ НСО Государственная вневедомственная экспертиза Новосибирской области на выполнение работ по благоустройству.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3. Данным проектом предлагается утвердить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Порядок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едоставления и расходования субсидий местным бюджетам 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дарственной программы Новосибирской области «Жилищно-коммунальное хозяйство Новосибирской области» в целях обесп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ечения финансирования данных мероприятий с начала 2024 года.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4. В связи с утверждением порядка предоставления субсидии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на 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 признаётся утратившим силу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орядок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предоставления иных межбюджетных трансфертов на поощрение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муниципальных образований - победителей всероссийского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конкурса лучших проектов создания комфортной городской среды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  <w:r>
        <w:rPr>
          <w:sz w:val="27"/>
          <w:szCs w:val="27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5. </w:t>
      </w:r>
      <w:r>
        <w:rPr>
          <w:color w:val="000000"/>
          <w:sz w:val="27"/>
          <w:szCs w:val="27"/>
        </w:rPr>
        <w:t xml:space="preserve">В соответствии с заключение Контрольно-счетной палаты Новосибирской области (письмо от 27.10.2023 № </w:t>
      </w:r>
      <w:r>
        <w:rPr>
          <w:color w:val="000000"/>
          <w:sz w:val="27"/>
          <w:szCs w:val="27"/>
        </w:rPr>
        <w:t xml:space="preserve">7792/21-Вх</w:t>
      </w:r>
      <w:r>
        <w:rPr>
          <w:color w:val="000000"/>
          <w:sz w:val="27"/>
          <w:szCs w:val="27"/>
        </w:rPr>
        <w:t xml:space="preserve">)</w:t>
      </w:r>
      <w:r>
        <w:rPr>
          <w:color w:val="000000"/>
          <w:sz w:val="27"/>
          <w:szCs w:val="27"/>
        </w:rPr>
        <w:t xml:space="preserve"> данным проектом внесены изменения в Порядки предоставления и расходования субсидий местным бюджетам на реализацию мероприятий государственной программы №№20,21 и 24 в части</w:t>
      </w:r>
      <w:r>
        <w:rPr>
          <w:color w:val="000000"/>
          <w:sz w:val="27"/>
          <w:szCs w:val="27"/>
        </w:rPr>
        <w:t xml:space="preserve"> приведения в соответствие с</w:t>
      </w:r>
      <w:r>
        <w:rPr>
          <w:color w:val="000000"/>
          <w:sz w:val="27"/>
          <w:szCs w:val="27"/>
          <w:highlight w:val="none"/>
        </w:rPr>
        <w:t xml:space="preserve"> пп. 2.1 п. 7 Правил формирования, предоставления и </w:t>
      </w:r>
      <w:r>
        <w:rPr>
          <w:color w:val="000000"/>
          <w:sz w:val="27"/>
          <w:szCs w:val="27"/>
          <w:highlight w:val="none"/>
        </w:rPr>
        <w:t xml:space="preserve">распределения субсидий из областного бюджета, утвержденных</w:t>
      </w:r>
      <w:r>
        <w:rPr>
          <w:color w:val="000000"/>
          <w:sz w:val="27"/>
          <w:szCs w:val="27"/>
          <w:highlight w:val="none"/>
        </w:rPr>
        <w:t xml:space="preserve"> </w:t>
      </w:r>
      <w:r>
        <w:rPr>
          <w:color w:val="000000"/>
          <w:sz w:val="27"/>
          <w:szCs w:val="27"/>
          <w:highlight w:val="none"/>
        </w:rPr>
        <w:t xml:space="preserve">постановлением Правительства Новосибирской области от 03.03.2020 № 40-п.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По остальным Порядкам </w:t>
      </w:r>
      <w:r>
        <w:rPr>
          <w:color w:val="000000"/>
          <w:sz w:val="27"/>
          <w:szCs w:val="27"/>
          <w:highlight w:val="white"/>
        </w:rPr>
        <w:t xml:space="preserve">предложения и замечания Контрольно-счетной палаты Новосибирской области</w:t>
      </w:r>
      <w:r>
        <w:rPr>
          <w:color w:val="000000"/>
          <w:sz w:val="27"/>
          <w:szCs w:val="27"/>
          <w:highlight w:val="none"/>
        </w:rPr>
        <w:t xml:space="preserve"> </w:t>
      </w:r>
      <w:r>
        <w:rPr>
          <w:color w:val="000000"/>
          <w:sz w:val="27"/>
          <w:szCs w:val="27"/>
          <w:highlight w:val="white"/>
        </w:rPr>
        <w:t xml:space="preserve">будут учтены при следующей корректировке государственной программы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  <w14:ligatures w14:val="none"/>
        </w:rPr>
      </w:r>
    </w:p>
    <w:p>
      <w:pPr>
        <w:pStyle w:val="902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Проект акта не подлежит оценке регулирующего воздействия, поскольку не устанавливает новые, не изменяет и не отменяет ранее предус</w:t>
      </w:r>
      <w:r>
        <w:rPr>
          <w:sz w:val="27"/>
          <w:szCs w:val="27"/>
        </w:rPr>
        <w:t xml:space="preserve">мотренные нормативными правовыми актами Новосибирской области (далее – НПА)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</w:t>
      </w:r>
      <w:r>
        <w:rPr>
          <w:sz w:val="27"/>
          <w:szCs w:val="27"/>
        </w:rPr>
        <w:t xml:space="preserve">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экспертиз; не устанавливает новые, не изменяет  и не отменяет ранее предусмотренные НПА</w:t>
      </w:r>
      <w:r>
        <w:rPr>
          <w:sz w:val="27"/>
          <w:szCs w:val="27"/>
        </w:rPr>
        <w:t xml:space="preserve"> обязанности и запреты для субъектов предпринимательской и инвестиционной деятельности; не устанавливает, не изменяет и не отменяет ответственность за нарушение НПА, затрагивающих вопросы осуществления предпринимательской и иной экономической деятельности.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ind w:firstLine="709"/>
        <w:jc w:val="both"/>
        <w:spacing w:line="23" w:lineRule="atLeast"/>
        <w:tabs>
          <w:tab w:val="left" w:pos="6096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ind w:firstLine="709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jc w:val="both"/>
        <w:spacing w:line="252" w:lineRule="auto"/>
        <w:tabs>
          <w:tab w:val="left" w:pos="5205" w:leader="none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М</w:t>
      </w:r>
      <w:r>
        <w:rPr>
          <w:sz w:val="27"/>
          <w:szCs w:val="27"/>
        </w:rPr>
        <w:t xml:space="preserve">инистр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жилищно-коммунального </w:t>
      </w:r>
      <w:r>
        <w:rPr>
          <w:sz w:val="27"/>
          <w:szCs w:val="27"/>
          <w:lang w:eastAsia="en-US"/>
        </w:rPr>
      </w:r>
      <w:r>
        <w:rPr>
          <w:sz w:val="27"/>
          <w:szCs w:val="27"/>
        </w:rPr>
      </w:r>
    </w:p>
    <w:p>
      <w:pPr>
        <w:pStyle w:val="902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хозяйства и энергетики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2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Новосибирской области                                                 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</w:t>
      </w:r>
      <w:r>
        <w:rPr>
          <w:sz w:val="27"/>
          <w:szCs w:val="27"/>
        </w:rPr>
        <w:t xml:space="preserve">  Д.Н. Архипов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964" w:left="153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r/>
    <w:r/>
  </w:p>
  <w:p>
    <w:pPr>
      <w:pStyle w:val="924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16</w:t>
    </w:r>
    <w:r>
      <w:fldChar w:fldCharType="end"/>
    </w:r>
    <w:r/>
  </w:p>
  <w:p>
    <w:pPr>
      <w:pStyle w:val="922"/>
      <w:tabs>
        <w:tab w:val="clear" w:pos="4677" w:leader="none"/>
        <w:tab w:val="center" w:pos="4960" w:leader="none"/>
        <w:tab w:val="clear" w:pos="9355" w:leader="none"/>
        <w:tab w:val="right" w:pos="9921" w:leader="none"/>
      </w:tabs>
    </w:pPr>
    <w:r/>
    <w:r/>
  </w:p>
  <w:p>
    <w:pPr>
      <w:pStyle w:val="90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6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9" w:hanging="10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902"/>
    <w:next w:val="902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902"/>
    <w:next w:val="902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902"/>
    <w:next w:val="902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902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pPr>
      <w:spacing w:before="0" w:after="0" w:line="240" w:lineRule="auto"/>
    </w:p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next w:val="902"/>
    <w:link w:val="902"/>
    <w:qFormat/>
    <w:rPr>
      <w:sz w:val="24"/>
      <w:szCs w:val="24"/>
      <w:lang w:val="ru-RU" w:eastAsia="ru-RU" w:bidi="ar-SA"/>
    </w:rPr>
  </w:style>
  <w:style w:type="character" w:styleId="903">
    <w:name w:val="Основной шрифт абзаца"/>
    <w:next w:val="903"/>
    <w:link w:val="902"/>
    <w:semiHidden/>
  </w:style>
  <w:style w:type="table" w:styleId="904">
    <w:name w:val="Обычная таблица"/>
    <w:next w:val="904"/>
    <w:link w:val="902"/>
    <w:semiHidden/>
    <w:tblPr/>
  </w:style>
  <w:style w:type="numbering" w:styleId="905">
    <w:name w:val="Нет списка"/>
    <w:next w:val="905"/>
    <w:link w:val="902"/>
    <w:semiHidden/>
  </w:style>
  <w:style w:type="paragraph" w:styleId="906">
    <w:name w:val="ConsPlusCell"/>
    <w:next w:val="906"/>
    <w:link w:val="902"/>
    <w:rPr>
      <w:rFonts w:ascii="Arial" w:hAnsi="Arial" w:cs="Arial"/>
      <w:lang w:val="ru-RU" w:eastAsia="ru-RU" w:bidi="ar-SA"/>
    </w:rPr>
  </w:style>
  <w:style w:type="paragraph" w:styleId="907">
    <w:name w:val="Основной текст 2"/>
    <w:basedOn w:val="902"/>
    <w:next w:val="907"/>
    <w:link w:val="908"/>
    <w:pPr>
      <w:jc w:val="both"/>
    </w:pPr>
    <w:rPr>
      <w:sz w:val="28"/>
      <w:szCs w:val="28"/>
    </w:rPr>
  </w:style>
  <w:style w:type="character" w:styleId="908">
    <w:name w:val="Основной текст 2 Знак"/>
    <w:next w:val="908"/>
    <w:link w:val="907"/>
    <w:rPr>
      <w:sz w:val="28"/>
      <w:szCs w:val="28"/>
      <w:lang w:val="ru-RU" w:eastAsia="ru-RU" w:bidi="ar-SA"/>
    </w:rPr>
  </w:style>
  <w:style w:type="paragraph" w:styleId="909">
    <w:name w:val="ConsPlusNormal"/>
    <w:next w:val="909"/>
    <w:link w:val="902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10">
    <w:name w:val="Знак примечания"/>
    <w:next w:val="910"/>
    <w:link w:val="902"/>
    <w:semiHidden/>
    <w:rPr>
      <w:sz w:val="16"/>
      <w:szCs w:val="16"/>
    </w:rPr>
  </w:style>
  <w:style w:type="paragraph" w:styleId="911">
    <w:name w:val="Текст примечания"/>
    <w:basedOn w:val="902"/>
    <w:next w:val="911"/>
    <w:link w:val="932"/>
    <w:semiHidden/>
    <w:rPr>
      <w:sz w:val="20"/>
      <w:szCs w:val="20"/>
    </w:rPr>
  </w:style>
  <w:style w:type="paragraph" w:styleId="912">
    <w:name w:val="Тема примечания"/>
    <w:basedOn w:val="911"/>
    <w:next w:val="911"/>
    <w:link w:val="902"/>
    <w:semiHidden/>
    <w:rPr>
      <w:b/>
      <w:bCs/>
    </w:rPr>
  </w:style>
  <w:style w:type="paragraph" w:styleId="913">
    <w:name w:val="Текст выноски"/>
    <w:basedOn w:val="902"/>
    <w:next w:val="913"/>
    <w:link w:val="902"/>
    <w:semiHidden/>
    <w:rPr>
      <w:rFonts w:ascii="Tahoma" w:hAnsi="Tahoma" w:cs="Tahoma"/>
      <w:sz w:val="16"/>
      <w:szCs w:val="16"/>
    </w:rPr>
  </w:style>
  <w:style w:type="paragraph" w:styleId="914">
    <w:name w:val="ConsPlusTitle"/>
    <w:next w:val="914"/>
    <w:link w:val="902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15">
    <w:name w:val="Основной текст"/>
    <w:basedOn w:val="902"/>
    <w:next w:val="915"/>
    <w:link w:val="916"/>
    <w:pPr>
      <w:spacing w:after="120"/>
    </w:pPr>
    <w:rPr>
      <w:lang w:val="en-US" w:eastAsia="en-US"/>
    </w:rPr>
  </w:style>
  <w:style w:type="character" w:styleId="916">
    <w:name w:val="Основной текст Знак"/>
    <w:next w:val="916"/>
    <w:link w:val="915"/>
    <w:rPr>
      <w:sz w:val="24"/>
      <w:szCs w:val="24"/>
    </w:rPr>
  </w:style>
  <w:style w:type="table" w:styleId="917">
    <w:name w:val="Сетка таблицы"/>
    <w:basedOn w:val="904"/>
    <w:next w:val="917"/>
    <w:link w:val="902"/>
    <w:uiPriority w:val="59"/>
    <w:rPr>
      <w:rFonts w:ascii="Calibri" w:hAnsi="Calibri" w:eastAsia="Calibri"/>
    </w:rPr>
    <w:tblPr/>
  </w:style>
  <w:style w:type="paragraph" w:styleId="918">
    <w:name w:val="Без интервала"/>
    <w:next w:val="918"/>
    <w:link w:val="902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19">
    <w:name w:val="Абзац списка"/>
    <w:basedOn w:val="902"/>
    <w:next w:val="919"/>
    <w:link w:val="902"/>
    <w:uiPriority w:val="34"/>
    <w:qFormat/>
    <w:pPr>
      <w:contextualSpacing/>
      <w:ind w:left="720"/>
    </w:pPr>
    <w:rPr>
      <w:sz w:val="28"/>
      <w:szCs w:val="28"/>
    </w:rPr>
  </w:style>
  <w:style w:type="paragraph" w:styleId="920">
    <w:name w:val="Основной текст с отступом"/>
    <w:basedOn w:val="902"/>
    <w:next w:val="920"/>
    <w:link w:val="921"/>
    <w:pPr>
      <w:ind w:left="283"/>
      <w:spacing w:after="120"/>
    </w:pPr>
    <w:rPr>
      <w:lang w:val="en-US" w:eastAsia="en-US"/>
    </w:rPr>
  </w:style>
  <w:style w:type="character" w:styleId="921">
    <w:name w:val="Основной текст с отступом Знак"/>
    <w:next w:val="921"/>
    <w:link w:val="920"/>
    <w:rPr>
      <w:sz w:val="24"/>
      <w:szCs w:val="24"/>
    </w:rPr>
  </w:style>
  <w:style w:type="paragraph" w:styleId="922">
    <w:name w:val="Верхний колонтитул"/>
    <w:basedOn w:val="902"/>
    <w:next w:val="922"/>
    <w:link w:val="92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3">
    <w:name w:val="Верхний колонтитул Знак"/>
    <w:next w:val="923"/>
    <w:link w:val="922"/>
    <w:uiPriority w:val="99"/>
    <w:rPr>
      <w:sz w:val="24"/>
      <w:szCs w:val="24"/>
    </w:rPr>
  </w:style>
  <w:style w:type="paragraph" w:styleId="924">
    <w:name w:val="Нижний колонтитул"/>
    <w:basedOn w:val="902"/>
    <w:next w:val="924"/>
    <w:link w:val="92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25">
    <w:name w:val="Нижний колонтитул Знак"/>
    <w:next w:val="925"/>
    <w:link w:val="924"/>
    <w:uiPriority w:val="99"/>
    <w:rPr>
      <w:sz w:val="24"/>
      <w:szCs w:val="24"/>
    </w:rPr>
  </w:style>
  <w:style w:type="paragraph" w:styleId="926">
    <w:name w:val="Заголовок,Название"/>
    <w:basedOn w:val="902"/>
    <w:next w:val="926"/>
    <w:link w:val="927"/>
    <w:qFormat/>
    <w:pPr>
      <w:jc w:val="center"/>
    </w:pPr>
    <w:rPr>
      <w:sz w:val="28"/>
    </w:rPr>
  </w:style>
  <w:style w:type="character" w:styleId="927">
    <w:name w:val="Название Знак"/>
    <w:next w:val="927"/>
    <w:link w:val="926"/>
    <w:rPr>
      <w:sz w:val="28"/>
      <w:szCs w:val="24"/>
    </w:rPr>
  </w:style>
  <w:style w:type="character" w:styleId="928">
    <w:name w:val="Гиперссылка"/>
    <w:next w:val="928"/>
    <w:link w:val="902"/>
    <w:rPr>
      <w:color w:val="0000ff"/>
      <w:u w:val="single"/>
    </w:rPr>
  </w:style>
  <w:style w:type="character" w:styleId="929">
    <w:name w:val="Просмотренная гиперссылка"/>
    <w:next w:val="929"/>
    <w:link w:val="902"/>
    <w:rPr>
      <w:color w:val="800080"/>
      <w:u w:val="single"/>
    </w:rPr>
  </w:style>
  <w:style w:type="paragraph" w:styleId="930">
    <w:name w:val="Текст"/>
    <w:basedOn w:val="902"/>
    <w:next w:val="930"/>
    <w:link w:val="931"/>
    <w:rPr>
      <w:rFonts w:ascii="Courier New" w:hAnsi="Courier New" w:cs="Courier New"/>
      <w:sz w:val="20"/>
      <w:szCs w:val="20"/>
    </w:rPr>
  </w:style>
  <w:style w:type="character" w:styleId="931">
    <w:name w:val="Текст Знак"/>
    <w:next w:val="931"/>
    <w:link w:val="930"/>
    <w:rPr>
      <w:rFonts w:ascii="Courier New" w:hAnsi="Courier New" w:cs="Courier New"/>
    </w:rPr>
  </w:style>
  <w:style w:type="character" w:styleId="932">
    <w:name w:val="Текст примечания Знак"/>
    <w:next w:val="932"/>
    <w:link w:val="911"/>
    <w:semiHidden/>
  </w:style>
  <w:style w:type="character" w:styleId="933" w:default="1">
    <w:name w:val="Default Paragraph Font"/>
    <w:uiPriority w:val="1"/>
    <w:semiHidden/>
    <w:unhideWhenUsed/>
  </w:style>
  <w:style w:type="numbering" w:styleId="934" w:default="1">
    <w:name w:val="No List"/>
    <w:uiPriority w:val="99"/>
    <w:semiHidden/>
    <w:unhideWhenUsed/>
  </w:style>
  <w:style w:type="table" w:styleId="9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СТРОИТЕЛЬСТВА И ЖИЛИЩНО-КОММУНАЛЬНОГО ХОЗЯЙСТВА НОВОСИБИРСКОЙ ОБЛАСТИ</dc:title>
  <dc:creator>nat</dc:creator>
  <cp:revision>82</cp:revision>
  <dcterms:created xsi:type="dcterms:W3CDTF">2022-01-26T11:35:00Z</dcterms:created>
  <dcterms:modified xsi:type="dcterms:W3CDTF">2024-01-10T10:04:59Z</dcterms:modified>
  <cp:version>1048576</cp:version>
</cp:coreProperties>
</file>