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</w:pPr>
      <w:r>
        <w:t xml:space="preserve">ПРИЛОЖЕНИЕ</w:t>
      </w:r>
      <w:r/>
    </w:p>
    <w:p>
      <w:pPr>
        <w:ind w:firstLine="709"/>
        <w:jc w:val="right"/>
      </w:pPr>
      <w:r>
        <w:t xml:space="preserve">к приказу департамента имущества</w:t>
      </w:r>
      <w:r/>
    </w:p>
    <w:p>
      <w:pPr>
        <w:ind w:firstLine="709"/>
        <w:jc w:val="right"/>
      </w:pPr>
      <w:r>
        <w:t xml:space="preserve"> и земельных отношений </w:t>
      </w:r>
      <w:r/>
    </w:p>
    <w:p>
      <w:pPr>
        <w:ind w:firstLine="709"/>
        <w:jc w:val="right"/>
      </w:pPr>
      <w:r>
        <w:t xml:space="preserve">Новосибирской области </w:t>
      </w:r>
      <w:r/>
    </w:p>
    <w:p>
      <w:pPr>
        <w:ind w:firstLine="709"/>
        <w:jc w:val="right"/>
      </w:pPr>
      <w:r>
        <w:t xml:space="preserve">от_________ №__________</w:t>
      </w:r>
      <w:r/>
    </w:p>
    <w:p>
      <w:pPr>
        <w:pStyle w:val="842"/>
        <w:ind w:left="1080"/>
        <w:jc w:val="both"/>
        <w:spacing w:after="100" w:afterAutospacing="1"/>
      </w:pPr>
      <w:r/>
      <w:r/>
    </w:p>
    <w:p>
      <w:pPr>
        <w:pStyle w:val="842"/>
        <w:ind w:left="1080"/>
        <w:jc w:val="both"/>
        <w:spacing w:after="100" w:afterAutospacing="1"/>
      </w:pPr>
      <w:r/>
      <w:r/>
    </w:p>
    <w:p>
      <w:pPr>
        <w:pStyle w:val="842"/>
        <w:ind w:left="1080"/>
        <w:jc w:val="center"/>
        <w:spacing w:after="100" w:afterAutospacing="1"/>
        <w:rPr>
          <w:b/>
        </w:rPr>
      </w:pPr>
      <w:r>
        <w:rPr>
          <w:b/>
        </w:rPr>
        <w:t xml:space="preserve">ПОРЯДОК</w:t>
      </w:r>
      <w:r>
        <w:rPr>
          <w:b/>
        </w:rPr>
      </w:r>
    </w:p>
    <w:p>
      <w:pPr>
        <w:pStyle w:val="842"/>
        <w:ind w:left="1080"/>
        <w:jc w:val="center"/>
        <w:spacing w:after="100" w:afterAutospacing="1"/>
        <w:rPr>
          <w:b/>
        </w:rPr>
      </w:pPr>
      <w:r>
        <w:rPr>
          <w:b/>
        </w:rPr>
        <w:t xml:space="preserve">ведения департаментом имущества и земельных отношений Новосибирской области перечня точек взаимодействия с внешними и внутренними клиентами</w:t>
      </w:r>
      <w:r>
        <w:rPr>
          <w:b/>
        </w:rPr>
      </w:r>
    </w:p>
    <w:p>
      <w:pPr>
        <w:contextualSpacing/>
        <w:jc w:val="center"/>
        <w:spacing w:after="100" w:afterAutospacing="1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1. Порядок ведения департаментом имущества и земельных отношений Новосибирской области (далее – департамент) перечн</w:t>
      </w:r>
      <w:r>
        <w:t xml:space="preserve">я точек взаимодействия с внешними и внутренними клиентами (далее – Перечень) определяет порядок ведения департаментом перечня точек взаимодействия с внешним клиентом в рамках предоставления государственных услуг департамента, рассмотрения обращений и запро</w:t>
      </w:r>
      <w:r>
        <w:t xml:space="preserve">сов, обеспечения доступа к информации о деятельности департамента, а также с внутренним клиентом, в том числе по вопросам информационно-технического обеспечения, ведения бухгалтерского учета, осуществления административно-хозяйственной деятельности.</w:t>
      </w:r>
      <w:r/>
    </w:p>
    <w:p>
      <w:pPr>
        <w:ind w:firstLine="709"/>
        <w:jc w:val="both"/>
      </w:pPr>
      <w:r>
        <w:t xml:space="preserve">2. Нас</w:t>
      </w:r>
      <w:r>
        <w:t xml:space="preserve">тоящий Порядок разработан в соответствии со Стандартами «Государство для людей», «Государство для бизнеса», «Для внутреннего клиента», а также Методическими рекомендациями по формированию перечня точек взаимодействия с клиентом и разработке порядка по взаи</w:t>
      </w:r>
      <w:r>
        <w:t xml:space="preserve">модействию с клиентом в точках взаимодействия, одобренными Протоколом заседания межведомственной рабочей группы по внедрению клиентоцентричности в государственное управление от 06.07.2023 № 66-АХ</w:t>
      </w:r>
      <w:r>
        <w:t xml:space="preserve"> (далее – Методические рекомендации)</w:t>
      </w:r>
      <w:r>
        <w:t xml:space="preserve">. </w:t>
      </w:r>
      <w:r/>
    </w:p>
    <w:p>
      <w:pPr>
        <w:pStyle w:val="842"/>
        <w:ind w:left="0" w:firstLine="709"/>
        <w:jc w:val="both"/>
        <w:rPr>
          <w:rFonts w:eastAsiaTheme="minorHAnsi"/>
          <w:lang w:eastAsia="en-US"/>
        </w:rPr>
      </w:pPr>
      <w:r>
        <w:t xml:space="preserve">3. </w:t>
      </w:r>
      <w:r>
        <w:rPr>
          <w:rFonts w:eastAsiaTheme="minorHAnsi"/>
          <w:lang w:eastAsia="en-US"/>
        </w:rPr>
        <w:t xml:space="preserve">В настоящем Порядке используются следующие термины: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</w:t>
      </w:r>
      <w:r>
        <w:rPr>
          <w:rFonts w:eastAsiaTheme="minorHAnsi"/>
          <w:lang w:eastAsia="en-US"/>
        </w:rPr>
        <w:t xml:space="preserve">внешний клиент - физические лица и юридические лица, взаимодействующие с департаментом с целью удовлетворения своих потребностей, а также при осуществлении функций департамента;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внутренний клиент - государственный гражданский служащий департамента;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 т</w:t>
      </w:r>
      <w:r>
        <w:rPr>
          <w:rFonts w:eastAsiaTheme="minorHAnsi"/>
          <w:lang w:eastAsia="en-US"/>
        </w:rPr>
        <w:t xml:space="preserve">очки взаимодействия: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цифровые точки: официальные сайты (порталы), мобильные приложения, социальные сети, мессенджеры, чат-боты, голосовые помощники, кол-центры, программное взаимодействие посредством </w:t>
      </w:r>
      <w:r>
        <w:rPr>
          <w:rFonts w:eastAsiaTheme="minorHAnsi"/>
          <w:lang w:val="en-US" w:eastAsia="en-US"/>
        </w:rPr>
        <w:t xml:space="preserve">API</w:t>
      </w:r>
      <w:r>
        <w:rPr>
          <w:rFonts w:eastAsiaTheme="minorHAnsi"/>
          <w:lang w:eastAsia="en-US"/>
        </w:rPr>
        <w:t xml:space="preserve">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оффлайн-точки: места приема клиентов в департаменте</w:t>
      </w:r>
      <w:r>
        <w:rPr>
          <w:rFonts w:eastAsiaTheme="minorHAnsi"/>
          <w:lang w:eastAsia="en-US"/>
        </w:rPr>
        <w:t xml:space="preserve"> и уполномоченных организациях, обособленных учреждениях, где в режиме «одного окна» предоставляются услуги клиентам (многофункциональные центры предоставления государственных и муниципальных услуг «Мои документы»);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 услуга – деятельность по реализации у</w:t>
      </w:r>
      <w:r>
        <w:rPr>
          <w:rFonts w:eastAsiaTheme="minorHAnsi"/>
          <w:lang w:eastAsia="en-US"/>
        </w:rPr>
        <w:t xml:space="preserve">становленных полномочий департамента, осуществляемая по запросу внешнего клиента;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 оффлайн-точки - физическое пространство, в котором клиенты могут взаимодействовать с департаментом, а также организациями, уполномоченными на взаимодействие;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 цифровые т</w:t>
      </w:r>
      <w:r>
        <w:rPr>
          <w:rFonts w:eastAsiaTheme="minorHAnsi"/>
          <w:lang w:eastAsia="en-US"/>
        </w:rPr>
        <w:t xml:space="preserve">очки - точки, в которых клиенты могут взаимодействовать с департаментом, а также организациями, уполномоченными на взаимодействие, на цифровой платформе посредством информационно-телекоммуникационной сети Интернет;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 клиентский сценарий – процесс предоста</w:t>
      </w:r>
      <w:r>
        <w:rPr>
          <w:rFonts w:eastAsiaTheme="minorHAnsi"/>
          <w:lang w:eastAsia="en-US"/>
        </w:rPr>
        <w:t xml:space="preserve">вления набора услуг и исполнения функций департамента для удовлетворения потребностей клиента;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8) профиль клиента - записи о клиентах</w:t>
      </w:r>
      <w:r>
        <w:rPr>
          <w:rFonts w:eastAsiaTheme="minorHAnsi"/>
          <w:lang w:eastAsia="en-US"/>
        </w:rPr>
        <w:t xml:space="preserve">, которые используются для определения групп клиентов, схем поведения и предпочтений этих групп клиентов с целью улучшения клиентского опыта;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 клиентский опыт - измеримая оценка клиентом результатов прохождения клиентского пути, в том числе его отдельных</w:t>
      </w:r>
      <w:r>
        <w:rPr>
          <w:rFonts w:eastAsiaTheme="minorHAnsi"/>
          <w:lang w:eastAsia="en-US"/>
        </w:rPr>
        <w:t xml:space="preserve"> этапов, в виде совокупности когнитивных, эмоциональных, сенсорных и поведенческих реакций клиента (результат взаимодействия);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10) профиль клиентского сегмента - совокупность фактов, сведений и общих характеристик, присущих группе клиентов, схожих по каком</w:t>
      </w:r>
      <w:r>
        <w:rPr>
          <w:rFonts w:eastAsiaTheme="minorHAnsi"/>
          <w:lang w:eastAsia="en-US"/>
        </w:rPr>
        <w:t xml:space="preserve">у-либо признаку или совокупности признаков;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11) проактивное предоставление услуг - предоставление клиенту набора услуг для удовлетворения его потребностей без подачи клиентом запроса на получение указанных услуг;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12) клиентский путь - последовательность де</w:t>
      </w:r>
      <w:r>
        <w:rPr>
          <w:rFonts w:eastAsiaTheme="minorHAnsi"/>
          <w:lang w:eastAsia="en-US"/>
        </w:rPr>
        <w:t xml:space="preserve">йствий клиента от момента возникновения потребностей до момента их удовлетворения.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 Основными задачами формирования и ведения Перечня являются: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выстраивание эффективного взаимодействия внешних клиентов с внутренними клиентами, а также взаимодействия м</w:t>
      </w:r>
      <w:r>
        <w:rPr>
          <w:rFonts w:eastAsiaTheme="minorHAnsi"/>
          <w:lang w:eastAsia="en-US"/>
        </w:rPr>
        <w:t xml:space="preserve">ежду внутренними клиентами в рамках внутриведомственного и межведомственного взаимодействия;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формирование положительного опыта взаимодействия внешних и внутренних клиентов вне зависимости от канала взаимодействия.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5. </w:t>
      </w:r>
      <w:hyperlink r:id="rId13" w:tooltip="https://login.consultant.ru/link/?req=doc&amp;base=RLAW080&amp;n=159329&amp;dst=100140" w:history="1">
        <w:r>
          <w:rPr>
            <w:rFonts w:eastAsiaTheme="minorHAnsi"/>
            <w:lang w:eastAsia="en-US"/>
          </w:rPr>
          <w:t xml:space="preserve">Перечень</w:t>
        </w:r>
      </w:hyperlink>
      <w:r>
        <w:rPr>
          <w:rFonts w:eastAsiaTheme="minorHAnsi"/>
          <w:lang w:eastAsia="en-US"/>
        </w:rPr>
        <w:t xml:space="preserve"> формируется по форме согласно приложению к настоящему Порядку, с учетом реестра межведомственных и внутриведомст</w:t>
      </w:r>
      <w:r>
        <w:rPr>
          <w:rFonts w:eastAsiaTheme="minorHAnsi"/>
          <w:lang w:eastAsia="en-US"/>
        </w:rPr>
        <w:t xml:space="preserve">венных процессов департамента, утвержденного приказом департамента от 18.12.2023 № 4239.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 Структура Перечня: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направление деятельности департамента;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наименование конкретного процесса;</w:t>
      </w:r>
      <w:r>
        <w:rPr>
          <w:rFonts w:eastAsiaTheme="minorHAnsi"/>
          <w:lang w:eastAsia="en-US"/>
        </w:rPr>
      </w:r>
    </w:p>
    <w:p>
      <w:pPr>
        <w:ind w:firstLine="709"/>
        <w:jc w:val="both"/>
      </w:pPr>
      <w:r>
        <w:rPr>
          <w:rFonts w:eastAsiaTheme="minorHAnsi"/>
          <w:lang w:eastAsia="en-US"/>
        </w:rPr>
        <w:t xml:space="preserve">3) точка взаимодействия - </w:t>
      </w:r>
      <w:r>
        <w:t xml:space="preserve">указывается конкретная цифровая точка и</w:t>
      </w:r>
      <w:r>
        <w:t xml:space="preserve">ли оффлайн-точка взаимодействия в зависимости от канала взаимодействия при реализации процесса;</w:t>
      </w:r>
      <w:r/>
    </w:p>
    <w:p>
      <w:pPr>
        <w:ind w:firstLine="709"/>
        <w:jc w:val="both"/>
      </w:pPr>
      <w:r>
        <w:t xml:space="preserve">4) осуществляемое взаимодействие с клиентом – указываются действия департамента в отношении внешнего или внутреннего клиента, производимые в конкретной точке вз</w:t>
      </w:r>
      <w:r>
        <w:t xml:space="preserve">аимодействия;</w:t>
      </w:r>
      <w:r/>
    </w:p>
    <w:p>
      <w:pPr>
        <w:ind w:firstLine="709"/>
        <w:jc w:val="both"/>
        <w:rPr>
          <w:rFonts w:eastAsiaTheme="minorHAnsi"/>
          <w:lang w:eastAsia="en-US"/>
        </w:rPr>
      </w:pPr>
      <w:r>
        <w:t xml:space="preserve">5) особенности взаимодействия с клиентом – указываются действия департамента, которые осуществляются при реализации конкретного процесса или группы процессов, и влияют на взаимодействие с внешним или внутренним клиентом. При отсутствии особен</w:t>
      </w:r>
      <w:r>
        <w:t xml:space="preserve">ностей указывается вид взаимодействия (взаимодействие в цифровой точке или оффлайн-точке).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 Ответственными за формирование Перечня является заместитель руководителя департамента, ответственный за внедрение принципов и стандартов клиентоцентричности в деп</w:t>
      </w:r>
      <w:r>
        <w:rPr>
          <w:rFonts w:eastAsiaTheme="minorHAnsi"/>
          <w:lang w:eastAsia="en-US"/>
        </w:rPr>
        <w:t xml:space="preserve">артаменте. 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 Подготовка информации (сведений), подлежащей включению в Перечень, осуществляется структурными подразделениями департамента, которые непосредственно осуществляют (оказывают, предоставляют) соответствующие функции (услуги).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9. С учетом осущес</w:t>
      </w:r>
      <w:r>
        <w:rPr>
          <w:rFonts w:eastAsiaTheme="minorHAnsi"/>
          <w:lang w:eastAsia="en-US"/>
        </w:rPr>
        <w:t xml:space="preserve">твляемых департаментом функций, предоставляемых услуг Перечень формируется отдельно по каждому направлению деятельности: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предоставление государственных услуг;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рассмотрение обращений и запросов;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 обеспечение доступа к информации о деятельности департамента;</w:t>
      </w:r>
      <w:r>
        <w:rPr>
          <w:rFonts w:eastAsiaTheme="minorHAnsi"/>
          <w:lang w:eastAsia="en-US"/>
        </w:rPr>
      </w:r>
    </w:p>
    <w:p>
      <w:pPr>
        <w:ind w:firstLine="709"/>
        <w:jc w:val="both"/>
      </w:pPr>
      <w:r>
        <w:rPr>
          <w:rFonts w:eastAsiaTheme="minorHAnsi"/>
          <w:lang w:eastAsia="en-US"/>
        </w:rPr>
        <w:t xml:space="preserve">4) взаимодействие с внутренним клиентом,</w:t>
      </w:r>
      <w:r>
        <w:t xml:space="preserve"> в том числе по вопросам информационно-технического обеспечения, ведения бухгалтерского учета, осуществления административно-хозяйственной деятельности</w:t>
      </w:r>
      <w:r>
        <w:t xml:space="preserve">.</w:t>
      </w:r>
      <w:r/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Точки взаимодействия определяются в рамках каждого направления деятельности по каждой осуществляемой функции, предоставляемой услуге. 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Точки взаимодействия, которые мало востребованы или учет обращений по которым не велся или невозможен, также подлежат у</w:t>
      </w:r>
      <w:r>
        <w:rPr>
          <w:rFonts w:eastAsiaTheme="minorHAnsi"/>
          <w:lang w:eastAsia="en-US"/>
        </w:rPr>
        <w:t xml:space="preserve">чету.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10. Выявление точек взаимодействия осуществляется на основании анализа: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положений нормативных правовых актов, регулирующих оказание услуг, рассмотрение обращений и запросов и других осуществляемых функций;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положений ненормативных (внутренних) п</w:t>
      </w:r>
      <w:r>
        <w:rPr>
          <w:rFonts w:eastAsiaTheme="minorHAnsi"/>
          <w:lang w:eastAsia="en-US"/>
        </w:rPr>
        <w:t xml:space="preserve">равовых актов и иных документов, содержащих дополнительные требования, положения, регулирующие (вводящие) инструменты для оказания услуги, осуществления функции;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положений актов, контрактов, соглашений, регулирующих порядок работы определенных точек вза</w:t>
      </w:r>
      <w:r>
        <w:rPr>
          <w:rFonts w:eastAsiaTheme="minorHAnsi"/>
          <w:lang w:eastAsia="en-US"/>
        </w:rPr>
        <w:t xml:space="preserve">имодействия.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если использование точки взаимодействия осуществляется не на основании документа, а на основании распорядительного действия (поручения, резолюции, иное), точка взаимодействия также включается в Перечень.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11. Для каждой точки взаимодействия определяются удовлетворяемые потребности внешнего и внутреннего клиента, то есть цель обращения клиента к департаменту и организации, уполномоченной на взаимодействие, в данной точке взаимодействия: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получение информац</w:t>
      </w:r>
      <w:r>
        <w:rPr>
          <w:rFonts w:eastAsiaTheme="minorHAnsi"/>
          <w:lang w:eastAsia="en-US"/>
        </w:rPr>
        <w:t xml:space="preserve">ии;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получение консультации;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 получение форм документов;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 представление заявления, обращения, запроса, документов;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 получение информации о ходе рассмотрения заявления, обращения, запроса, документов;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 получение результата, ответа, разъяснения;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</w:t>
      </w:r>
      <w:r>
        <w:rPr>
          <w:rFonts w:eastAsiaTheme="minorHAnsi"/>
          <w:lang w:eastAsia="en-US"/>
        </w:rPr>
        <w:t xml:space="preserve"> предоставление объектов для осмотра (проверки);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8) предоставление обратной связи;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 получение результата рассмотрения обратной связи;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10) другие удовлетворяемые потребности клиента.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если взаимодействие с клиентом осуществляется в несколько этапо</w:t>
      </w:r>
      <w:r>
        <w:rPr>
          <w:rFonts w:eastAsiaTheme="minorHAnsi"/>
          <w:lang w:eastAsia="en-US"/>
        </w:rPr>
        <w:t xml:space="preserve">в (например, прием заявления и документов, рассмотрение заявления и документов, направление уведомлений по каждому этапу), точки взаимодействия в рамках одного процесса не подлежат дублированию, указывается одна точка взаимодействия и раскрываются удовлетв</w:t>
      </w:r>
      <w:r>
        <w:rPr>
          <w:rFonts w:eastAsiaTheme="minorHAnsi"/>
          <w:lang w:eastAsia="en-US"/>
        </w:rPr>
        <w:t xml:space="preserve">оряемые в ней потребности клиента (виды осуществляемого взаимодействия).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12. В зависимости от канала взаимодействия точки взаимодействия подразделяются на цифровые точки и оффлайн-точки.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3</w:t>
      </w:r>
      <w:r>
        <w:rPr>
          <w:rFonts w:eastAsiaTheme="minorHAnsi"/>
          <w:lang w:eastAsia="en-US"/>
        </w:rPr>
        <w:t xml:space="preserve">. Перечень утверждается приказом руководителя департамента.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4</w:t>
      </w:r>
      <w:r>
        <w:rPr>
          <w:rFonts w:eastAsiaTheme="minorHAnsi"/>
          <w:lang w:eastAsia="en-US"/>
        </w:rPr>
        <w:t xml:space="preserve">. Утвержденный Перечень размещается в электронной форме на официальном сайте департамента в разделе</w:t>
      </w:r>
      <w:r>
        <w:rPr>
          <w:rFonts w:eastAsiaTheme="minorHAnsi"/>
          <w:lang w:eastAsia="en-US"/>
        </w:rPr>
        <w:t xml:space="preserve"> «Документы» в срок до 7 февраля 2024 года.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5</w:t>
      </w:r>
      <w:r>
        <w:rPr>
          <w:rFonts w:eastAsiaTheme="minorHAnsi"/>
          <w:lang w:eastAsia="en-US"/>
        </w:rPr>
        <w:t xml:space="preserve">. Перечень подлежит актуализации в случаях: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включения в реестр межведомственных и внутриведомственных процессов департамента (исключения из реестра межведомственных и внутриведомственных процессов департамен</w:t>
      </w:r>
      <w:r>
        <w:rPr>
          <w:rFonts w:eastAsiaTheme="minorHAnsi"/>
          <w:lang w:eastAsia="en-US"/>
        </w:rPr>
        <w:t xml:space="preserve">та) услуг, функций;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 изменения вида точки взаимодействия;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 изменения в точке взаимодействия удовлетворяемых потребностей клиента.</w:t>
      </w:r>
      <w:r>
        <w:rPr>
          <w:rFonts w:eastAsiaTheme="minorHAnsi"/>
          <w:lang w:eastAsia="en-US"/>
        </w:rPr>
      </w:r>
    </w:p>
    <w:p>
      <w:pPr>
        <w:contextualSpacing/>
        <w:ind w:firstLine="709"/>
        <w:jc w:val="both"/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6</w:t>
      </w:r>
      <w:r>
        <w:rPr>
          <w:rFonts w:eastAsiaTheme="minorHAnsi"/>
          <w:lang w:eastAsia="en-US"/>
        </w:rPr>
        <w:t xml:space="preserve">. </w:t>
      </w:r>
      <w:r>
        <w:t xml:space="preserve">Внесение изменений в содержание Перечня инициирует структурное подразделение департамента, ответственное за процесс. П</w:t>
      </w:r>
      <w:r>
        <w:t xml:space="preserve">ри направлении на согласование предложений по внесению изменений в содержание Перечня прилагается пояснительная записка, раскрывающая причины и суть вносимых изменений.</w:t>
      </w:r>
      <w:r/>
    </w:p>
    <w:p>
      <w:pPr>
        <w:contextualSpacing/>
        <w:ind w:firstLine="709"/>
        <w:jc w:val="both"/>
      </w:pPr>
      <w:r>
        <w:t xml:space="preserve">Согласование изменений в содержание Перечня осуществляется в следующей последовательнос</w:t>
      </w:r>
      <w:r>
        <w:t xml:space="preserve">ти: </w:t>
      </w:r>
      <w:r/>
    </w:p>
    <w:p>
      <w:pPr>
        <w:ind w:firstLine="709"/>
        <w:jc w:val="both"/>
      </w:pPr>
      <w:r>
        <w:t xml:space="preserve">1) начальник структурного подразделения департамента, ответственного за процесс; </w:t>
      </w:r>
      <w:r/>
    </w:p>
    <w:p>
      <w:pPr>
        <w:ind w:firstLine="709"/>
        <w:jc w:val="both"/>
      </w:pPr>
      <w:r>
        <w:t xml:space="preserve">2) курирующий заместитель руководителя департамента;</w:t>
      </w:r>
      <w:r/>
    </w:p>
    <w:p>
      <w:pPr>
        <w:ind w:firstLine="709"/>
        <w:jc w:val="both"/>
        <w:rPr>
          <w:rFonts w:eastAsiaTheme="minorHAnsi"/>
          <w:lang w:eastAsia="en-US"/>
        </w:rPr>
      </w:pPr>
      <w:r>
        <w:t xml:space="preserve">3) заместитель руководителя, ответственный за внедрение принципов и стандартов клиентоцентричности в департаменте.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</w:t>
      </w:r>
      <w:r>
        <w:rPr>
          <w:rFonts w:eastAsiaTheme="minorHAnsi"/>
          <w:lang w:eastAsia="en-US"/>
        </w:rPr>
        <w:t xml:space="preserve">7</w:t>
      </w:r>
      <w:r>
        <w:rPr>
          <w:rFonts w:eastAsiaTheme="minorHAnsi"/>
          <w:lang w:eastAsia="en-US"/>
        </w:rPr>
        <w:t xml:space="preserve">. При внесении изменений в Перечень его актуальная версия размещается в электронной форме на официальном сайте департамента в разделе «Документы» в течение 5 рабочих дней со дня внесения таких изменений.</w:t>
      </w:r>
      <w:r>
        <w:rPr>
          <w:rFonts w:eastAsiaTheme="minorHAnsi"/>
          <w:lang w:eastAsia="en-US"/>
        </w:rPr>
      </w:r>
    </w:p>
    <w:p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__________________</w:t>
      </w:r>
      <w:r>
        <w:rPr>
          <w:rFonts w:eastAsiaTheme="minorHAnsi"/>
          <w:lang w:eastAsia="en-US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</w:p>
  <w:p>
    <w:pPr>
      <w:pStyle w:val="69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1"/>
    <w:link w:val="66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1"/>
    <w:link w:val="684"/>
    <w:uiPriority w:val="10"/>
    <w:rPr>
      <w:sz w:val="48"/>
      <w:szCs w:val="48"/>
    </w:rPr>
  </w:style>
  <w:style w:type="character" w:styleId="37">
    <w:name w:val="Subtitle Char"/>
    <w:basedOn w:val="671"/>
    <w:link w:val="686"/>
    <w:uiPriority w:val="11"/>
    <w:rPr>
      <w:sz w:val="24"/>
      <w:szCs w:val="24"/>
    </w:rPr>
  </w:style>
  <w:style w:type="character" w:styleId="39">
    <w:name w:val="Quote Char"/>
    <w:link w:val="688"/>
    <w:uiPriority w:val="29"/>
    <w:rPr>
      <w:i/>
    </w:rPr>
  </w:style>
  <w:style w:type="character" w:styleId="41">
    <w:name w:val="Intense Quote Char"/>
    <w:link w:val="690"/>
    <w:uiPriority w:val="30"/>
    <w:rPr>
      <w:i/>
    </w:rPr>
  </w:style>
  <w:style w:type="character" w:styleId="43">
    <w:name w:val="Header Char"/>
    <w:basedOn w:val="671"/>
    <w:link w:val="692"/>
    <w:uiPriority w:val="99"/>
  </w:style>
  <w:style w:type="character" w:styleId="47">
    <w:name w:val="Caption Char"/>
    <w:basedOn w:val="696"/>
    <w:link w:val="694"/>
    <w:uiPriority w:val="99"/>
  </w:style>
  <w:style w:type="character" w:styleId="176">
    <w:name w:val="Footnote Text Char"/>
    <w:link w:val="825"/>
    <w:uiPriority w:val="99"/>
    <w:rPr>
      <w:sz w:val="18"/>
    </w:rPr>
  </w:style>
  <w:style w:type="character" w:styleId="179">
    <w:name w:val="Endnote Text Char"/>
    <w:link w:val="828"/>
    <w:uiPriority w:val="99"/>
    <w:rPr>
      <w:sz w:val="20"/>
    </w:rPr>
  </w:style>
  <w:style w:type="paragraph" w:styleId="66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62">
    <w:name w:val="Heading 1"/>
    <w:basedOn w:val="661"/>
    <w:next w:val="66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61"/>
    <w:next w:val="661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61"/>
    <w:next w:val="661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next w:val="661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61"/>
    <w:next w:val="661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61"/>
    <w:next w:val="66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61"/>
    <w:next w:val="661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61"/>
    <w:next w:val="66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61"/>
    <w:next w:val="66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Заголовок 1 Знак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Заголовок 2 Знак"/>
    <w:basedOn w:val="671"/>
    <w:link w:val="663"/>
    <w:uiPriority w:val="9"/>
    <w:rPr>
      <w:rFonts w:ascii="Arial" w:hAnsi="Arial" w:eastAsia="Arial" w:cs="Arial"/>
      <w:sz w:val="34"/>
    </w:rPr>
  </w:style>
  <w:style w:type="character" w:styleId="676" w:customStyle="1">
    <w:name w:val="Заголовок 3 Знак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Заголовок 4 Знак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Заголовок 5 Знак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Заголовок 6 Знак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Заголовок 7 Знак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Заголовок 8 Знак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Заголовок 9 Знак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after="0" w:line="240" w:lineRule="auto"/>
    </w:pPr>
  </w:style>
  <w:style w:type="paragraph" w:styleId="684">
    <w:name w:val="Title"/>
    <w:basedOn w:val="661"/>
    <w:next w:val="66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 w:customStyle="1">
    <w:name w:val="Заголовок Знак"/>
    <w:basedOn w:val="671"/>
    <w:link w:val="684"/>
    <w:uiPriority w:val="10"/>
    <w:rPr>
      <w:sz w:val="48"/>
      <w:szCs w:val="48"/>
    </w:rPr>
  </w:style>
  <w:style w:type="paragraph" w:styleId="686">
    <w:name w:val="Subtitle"/>
    <w:basedOn w:val="661"/>
    <w:next w:val="66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 w:customStyle="1">
    <w:name w:val="Подзаголовок Знак"/>
    <w:basedOn w:val="671"/>
    <w:link w:val="686"/>
    <w:uiPriority w:val="11"/>
    <w:rPr>
      <w:sz w:val="24"/>
      <w:szCs w:val="24"/>
    </w:rPr>
  </w:style>
  <w:style w:type="paragraph" w:styleId="688">
    <w:name w:val="Quote"/>
    <w:basedOn w:val="661"/>
    <w:next w:val="661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Цитата 2 Знак"/>
    <w:link w:val="688"/>
    <w:uiPriority w:val="29"/>
    <w:rPr>
      <w:i/>
    </w:rPr>
  </w:style>
  <w:style w:type="paragraph" w:styleId="690">
    <w:name w:val="Intense Quote"/>
    <w:basedOn w:val="661"/>
    <w:next w:val="661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Выделенная цитата Знак"/>
    <w:link w:val="690"/>
    <w:uiPriority w:val="30"/>
    <w:rPr>
      <w:i/>
    </w:rPr>
  </w:style>
  <w:style w:type="paragraph" w:styleId="692">
    <w:name w:val="Header"/>
    <w:basedOn w:val="661"/>
    <w:link w:val="6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Верхний колонтитул Знак"/>
    <w:basedOn w:val="671"/>
    <w:link w:val="692"/>
    <w:uiPriority w:val="99"/>
  </w:style>
  <w:style w:type="paragraph" w:styleId="694">
    <w:name w:val="Footer"/>
    <w:basedOn w:val="661"/>
    <w:link w:val="6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5" w:customStyle="1">
    <w:name w:val="Footer Char"/>
    <w:basedOn w:val="671"/>
    <w:uiPriority w:val="99"/>
  </w:style>
  <w:style w:type="paragraph" w:styleId="696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Нижний колонтитул Знак"/>
    <w:link w:val="694"/>
    <w:uiPriority w:val="99"/>
  </w:style>
  <w:style w:type="table" w:styleId="698">
    <w:name w:val="Table Grid"/>
    <w:basedOn w:val="6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9" w:customStyle="1">
    <w:name w:val="Table Grid Light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0">
    <w:name w:val="Plain Table 1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6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661"/>
    <w:link w:val="826"/>
    <w:uiPriority w:val="99"/>
    <w:semiHidden/>
    <w:unhideWhenUsed/>
    <w:pPr>
      <w:spacing w:after="40"/>
    </w:pPr>
    <w:rPr>
      <w:sz w:val="18"/>
    </w:rPr>
  </w:style>
  <w:style w:type="character" w:styleId="826" w:customStyle="1">
    <w:name w:val="Текст сноски Знак"/>
    <w:link w:val="825"/>
    <w:uiPriority w:val="99"/>
    <w:rPr>
      <w:sz w:val="18"/>
    </w:rPr>
  </w:style>
  <w:style w:type="character" w:styleId="827">
    <w:name w:val="footnote reference"/>
    <w:basedOn w:val="671"/>
    <w:uiPriority w:val="99"/>
    <w:unhideWhenUsed/>
    <w:rPr>
      <w:vertAlign w:val="superscript"/>
    </w:rPr>
  </w:style>
  <w:style w:type="paragraph" w:styleId="828">
    <w:name w:val="endnote text"/>
    <w:basedOn w:val="661"/>
    <w:link w:val="829"/>
    <w:uiPriority w:val="99"/>
    <w:semiHidden/>
    <w:unhideWhenUsed/>
    <w:rPr>
      <w:sz w:val="20"/>
    </w:rPr>
  </w:style>
  <w:style w:type="character" w:styleId="829" w:customStyle="1">
    <w:name w:val="Текст концевой сноски Знак"/>
    <w:link w:val="828"/>
    <w:uiPriority w:val="99"/>
    <w:rPr>
      <w:sz w:val="20"/>
    </w:rPr>
  </w:style>
  <w:style w:type="character" w:styleId="830">
    <w:name w:val="endnote reference"/>
    <w:basedOn w:val="671"/>
    <w:uiPriority w:val="99"/>
    <w:semiHidden/>
    <w:unhideWhenUsed/>
    <w:rPr>
      <w:vertAlign w:val="superscript"/>
    </w:rPr>
  </w:style>
  <w:style w:type="paragraph" w:styleId="831">
    <w:name w:val="toc 1"/>
    <w:basedOn w:val="661"/>
    <w:next w:val="661"/>
    <w:uiPriority w:val="39"/>
    <w:unhideWhenUsed/>
    <w:pPr>
      <w:spacing w:after="57"/>
    </w:pPr>
  </w:style>
  <w:style w:type="paragraph" w:styleId="832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33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34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35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36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37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38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39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661"/>
    <w:next w:val="661"/>
    <w:uiPriority w:val="99"/>
    <w:unhideWhenUsed/>
  </w:style>
  <w:style w:type="paragraph" w:styleId="842">
    <w:name w:val="List Paragraph"/>
    <w:basedOn w:val="661"/>
    <w:uiPriority w:val="34"/>
    <w:qFormat/>
    <w:pPr>
      <w:contextualSpacing/>
      <w:ind w:left="720"/>
    </w:pPr>
  </w:style>
  <w:style w:type="paragraph" w:styleId="843">
    <w:name w:val="Balloon Text"/>
    <w:basedOn w:val="661"/>
    <w:link w:val="84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4" w:customStyle="1">
    <w:name w:val="Текст выноски Знак"/>
    <w:basedOn w:val="671"/>
    <w:link w:val="84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RLAW080&amp;n=159329&amp;dst=10014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D06F-9E48-4A80-B29A-B9784972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revision>3</cp:revision>
  <dcterms:created xsi:type="dcterms:W3CDTF">2024-01-25T07:58:00Z</dcterms:created>
  <dcterms:modified xsi:type="dcterms:W3CDTF">2024-01-25T08:45:27Z</dcterms:modified>
</cp:coreProperties>
</file>