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86" w:rsidRPr="00C73163" w:rsidRDefault="000A3886" w:rsidP="000A3886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Pr="00C73163">
        <w:rPr>
          <w:rFonts w:ascii="Times New Roman" w:eastAsia="Calibri" w:hAnsi="Times New Roman" w:cs="Times New Roman"/>
          <w:sz w:val="28"/>
          <w:szCs w:val="28"/>
        </w:rPr>
        <w:t>1</w:t>
      </w:r>
    </w:p>
    <w:p w:rsidR="000A3886" w:rsidRPr="00F5432E" w:rsidRDefault="000A3886" w:rsidP="000A3886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>к приказу министерства промышленности, торговли и развития предпринимательства Новосибирской области</w:t>
      </w:r>
    </w:p>
    <w:p w:rsidR="000A3886" w:rsidRPr="00F5432E" w:rsidRDefault="000A3886" w:rsidP="000A3886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>от___.___.201</w:t>
      </w:r>
      <w:r w:rsidR="003674A6">
        <w:rPr>
          <w:rFonts w:ascii="Times New Roman" w:eastAsia="Calibri" w:hAnsi="Times New Roman" w:cs="Times New Roman"/>
          <w:sz w:val="28"/>
          <w:szCs w:val="28"/>
        </w:rPr>
        <w:t>_</w:t>
      </w:r>
      <w:r w:rsidR="000B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432E">
        <w:rPr>
          <w:rFonts w:ascii="Times New Roman" w:eastAsia="Calibri" w:hAnsi="Times New Roman" w:cs="Times New Roman"/>
          <w:sz w:val="28"/>
          <w:szCs w:val="28"/>
        </w:rPr>
        <w:t>№___</w:t>
      </w:r>
    </w:p>
    <w:p w:rsidR="000A3886" w:rsidRPr="00F5432E" w:rsidRDefault="000A3886" w:rsidP="000A388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4112" w:rsidRPr="007F2BD9" w:rsidRDefault="004F4112" w:rsidP="002F5D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F2BD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4F4112" w:rsidRPr="00DC720F" w:rsidRDefault="000B1C2C" w:rsidP="002F5D30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C720F">
        <w:rPr>
          <w:rFonts w:ascii="Times New Roman" w:eastAsia="Calibri" w:hAnsi="Times New Roman" w:cs="Times New Roman"/>
          <w:sz w:val="28"/>
          <w:szCs w:val="28"/>
        </w:rPr>
        <w:t>«</w:t>
      </w:r>
      <w:r w:rsidR="004F4112" w:rsidRPr="00DC720F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p w:rsidR="004F4112" w:rsidRPr="004F4112" w:rsidRDefault="004F4112" w:rsidP="004F4112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F4112" w:rsidRPr="00F04A94" w:rsidRDefault="004F4112" w:rsidP="004F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индикаторы государственной программы Новосибирской области «Развитие промышленности и повышение её конкурентоспособности в Новосибирской области на </w:t>
      </w:r>
      <w:r w:rsidRPr="004F4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2015-2020 </w:t>
      </w:r>
      <w:r w:rsidRPr="004F4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 на очередной 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23D57" w:rsidRPr="00723D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4405CF" w:rsidRPr="004405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</w:t>
      </w:r>
      <w:r w:rsidR="004405CF" w:rsidRPr="004405C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8"/>
        <w:gridCol w:w="2409"/>
        <w:gridCol w:w="139"/>
        <w:gridCol w:w="995"/>
        <w:gridCol w:w="987"/>
        <w:gridCol w:w="1129"/>
        <w:gridCol w:w="719"/>
        <w:gridCol w:w="709"/>
        <w:gridCol w:w="709"/>
        <w:gridCol w:w="850"/>
        <w:gridCol w:w="851"/>
        <w:gridCol w:w="850"/>
        <w:gridCol w:w="1279"/>
      </w:tblGrid>
      <w:tr w:rsidR="004F4112" w:rsidRPr="00F04A94" w:rsidTr="004405CF">
        <w:trPr>
          <w:cantSplit/>
          <w:trHeight w:val="678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Цель/задачи,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требующие решения 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достижения цели</w:t>
            </w:r>
          </w:p>
        </w:tc>
        <w:tc>
          <w:tcPr>
            <w:tcW w:w="2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весового коэффициента целевого индикатора</w:t>
            </w:r>
          </w:p>
        </w:tc>
        <w:tc>
          <w:tcPr>
            <w:tcW w:w="58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целевого индикатора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F4112" w:rsidRPr="00F04A94" w:rsidTr="004405CF">
        <w:trPr>
          <w:cantSplit/>
          <w:trHeight w:val="896"/>
        </w:trPr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4112" w:rsidRPr="006C07D9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201</w:t>
            </w:r>
            <w:r w:rsidR="00723D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72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</w:t>
            </w:r>
            <w:r w:rsidR="00723D57" w:rsidRPr="0072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в том числе поквартально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5A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5A0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813C3B"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5A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5A0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5A0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0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4405CF">
        <w:trPr>
          <w:cantSplit/>
          <w:trHeight w:val="569"/>
        </w:trPr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4405CF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F4112" w:rsidRPr="00F04A94" w:rsidTr="004405CF">
        <w:trPr>
          <w:cantSplit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Новосибирской области 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промышленности и повышение её конкурентоспособности в Новосибирской области на 2015-2020 годы»</w:t>
            </w:r>
          </w:p>
        </w:tc>
      </w:tr>
      <w:tr w:rsidR="00CE3A34" w:rsidRPr="00F04A94" w:rsidTr="004251E7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F04A94" w:rsidRDefault="00CE3A34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Цель 1: </w:t>
            </w:r>
          </w:p>
          <w:p w:rsidR="00CE3A34" w:rsidRPr="00F04A94" w:rsidRDefault="00CE3A34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создание условий для развития промышленного потенциала, повышения конкурентоспособности промышленных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Новосибирской области, расширения производства наукоёмкой продукции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F04A94" w:rsidRDefault="00CE3A34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CE3A34" w:rsidRPr="00F04A94" w:rsidRDefault="00CE3A34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F04A94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F04A94" w:rsidDel="00F03B53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CA641B" w:rsidRDefault="00CE3A34" w:rsidP="007A3B0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A641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100</w:t>
            </w:r>
            <w:r w:rsidRPr="00CA64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CA641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A407F2" w:rsidRDefault="0076570F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4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A407F2" w:rsidRDefault="006D434E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4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A407F2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A4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 w:rsidRPr="00A407F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A4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A407F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C73163" w:rsidRDefault="00CE3A34" w:rsidP="00E1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119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E11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1199B" w:rsidRPr="00E11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A64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CE3A34" w:rsidRPr="00CA641B" w:rsidRDefault="00CE3A34" w:rsidP="00CE3A3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A64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F04A94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A34" w:rsidRPr="0076570F" w:rsidTr="004251E7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Задача 1: </w:t>
            </w:r>
          </w:p>
          <w:p w:rsidR="00CE3A34" w:rsidRPr="0076570F" w:rsidRDefault="00CE3A34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производственно-технологического потенциала промышленных организаций Новосибирской области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CE3A34" w:rsidRPr="0076570F" w:rsidRDefault="00CE3A34" w:rsidP="008E37F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Темп роста производительности (выработки) на одного работающего, определенной по выручке, по кругу промышленных организаций, получивших государственную поддержку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Del="00F03B53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6570F">
              <w:rPr>
                <w:rFonts w:ascii="Times New Roman" w:hAnsi="Times New Roman"/>
                <w:bCs/>
              </w:rPr>
              <w:t>108,0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570F">
              <w:rPr>
                <w:rFonts w:ascii="Times New Roman" w:hAnsi="Times New Roman"/>
                <w:bCs/>
              </w:rPr>
              <w:t>109,0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A34" w:rsidRPr="0076570F" w:rsidTr="004251E7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2: </w:t>
            </w:r>
          </w:p>
          <w:p w:rsidR="00CE3A34" w:rsidRPr="0076570F" w:rsidRDefault="00CE3A34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Новосибирской области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CE3A34" w:rsidRPr="0076570F" w:rsidRDefault="00CE3A34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Темп роста объёмов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Del="00F03B53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105,0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CE3A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570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570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A34" w:rsidRPr="0076570F" w:rsidTr="004251E7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3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CE3A34" w:rsidRPr="0076570F" w:rsidRDefault="00CE3A34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организаций медицинской промышленности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Новосибирской области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CE3A34" w:rsidRPr="0076570F" w:rsidRDefault="00CE3A34" w:rsidP="008E37F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роста объёмов производства продукции организаций медицинской промышленности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области, получивших государственную поддержку, в сопоставимых ценах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Del="00F03B53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105,0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570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3A34" w:rsidRPr="0076570F" w:rsidRDefault="00CE3A34" w:rsidP="004405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570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A34" w:rsidRPr="0076570F" w:rsidRDefault="00CE3A3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76570F" w:rsidTr="004405CF">
        <w:trPr>
          <w:cantSplit/>
          <w:trHeight w:val="304"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76570F">
              <w:rPr>
                <w:rFonts w:ascii="Calibri" w:eastAsia="Calibri" w:hAnsi="Calibri" w:cs="Times New Roman"/>
              </w:rPr>
              <w:br w:type="page"/>
            </w: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723D57" w:rsidRPr="0076570F" w:rsidTr="004405CF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1 подпрограммы 1:</w:t>
            </w:r>
          </w:p>
          <w:p w:rsidR="00723D57" w:rsidRPr="0076570F" w:rsidRDefault="00723D57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стимулирование промышленных организаций к внедрению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723D57" w:rsidRPr="0076570F" w:rsidRDefault="00723D57" w:rsidP="008E37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единиц нового основного технологического оборудования, приобретенного промышленными организациями в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57" w:rsidRPr="0076570F" w:rsidTr="004405CF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Задача 2 подпрограммы 1:</w:t>
            </w:r>
          </w:p>
          <w:p w:rsidR="00723D57" w:rsidRPr="0076570F" w:rsidRDefault="00723D57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723D57" w:rsidRPr="0076570F" w:rsidRDefault="00723D57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76570F" w:rsidTr="004405CF">
        <w:trPr>
          <w:cantSplit/>
          <w:trHeight w:val="200"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2 «</w:t>
            </w: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области»</w:t>
            </w:r>
          </w:p>
        </w:tc>
      </w:tr>
      <w:tr w:rsidR="00723D57" w:rsidRPr="0076570F" w:rsidTr="004405CF">
        <w:trPr>
          <w:cantSplit/>
          <w:trHeight w:val="1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1 подпрограммы 2:</w:t>
            </w:r>
          </w:p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нанотехнологий</w:t>
            </w:r>
            <w:proofErr w:type="spellEnd"/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723D57" w:rsidRPr="0076570F" w:rsidRDefault="00723D57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разработанных в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E8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57" w:rsidRPr="0076570F" w:rsidTr="004405CF">
        <w:trPr>
          <w:cantSplit/>
          <w:trHeight w:val="1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2 подпрограммы 2:</w:t>
            </w:r>
          </w:p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723D57" w:rsidRPr="0076570F" w:rsidRDefault="00723D57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приобретенного в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CA641B" w:rsidRDefault="00723D57" w:rsidP="004405CF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A641B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CA641B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4112" w:rsidRPr="0076570F" w:rsidRDefault="004F4112" w:rsidP="004F4112">
      <w:pPr>
        <w:rPr>
          <w:rFonts w:ascii="Calibri" w:eastAsia="Calibri" w:hAnsi="Calibri" w:cs="Times New Roman"/>
          <w:sz w:val="2"/>
          <w:szCs w:val="2"/>
        </w:rPr>
      </w:pPr>
      <w:r w:rsidRPr="0076570F">
        <w:rPr>
          <w:rFonts w:ascii="Calibri" w:eastAsia="Calibri" w:hAnsi="Calibri" w:cs="Times New Roman"/>
        </w:rPr>
        <w:br w:type="page"/>
      </w: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2832"/>
        <w:gridCol w:w="992"/>
        <w:gridCol w:w="987"/>
        <w:gridCol w:w="1129"/>
        <w:gridCol w:w="719"/>
        <w:gridCol w:w="709"/>
        <w:gridCol w:w="709"/>
        <w:gridCol w:w="850"/>
        <w:gridCol w:w="851"/>
        <w:gridCol w:w="850"/>
        <w:gridCol w:w="1279"/>
      </w:tblGrid>
      <w:tr w:rsidR="004F4112" w:rsidRPr="0076570F" w:rsidTr="004405CF">
        <w:trPr>
          <w:cantSplit/>
          <w:trHeight w:val="265"/>
        </w:trPr>
        <w:tc>
          <w:tcPr>
            <w:tcW w:w="155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lastRenderedPageBreak/>
              <w:t>Подпрограмма 3 «</w:t>
            </w:r>
            <w:r w:rsidRPr="0076570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Развитие медицинской промышленности Новосибирской области</w:t>
            </w:r>
            <w:r w:rsidRPr="0076570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723D57" w:rsidRPr="0076570F" w:rsidTr="004405CF">
        <w:trPr>
          <w:cantSplit/>
          <w:trHeight w:val="1877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1 подпрограммы 3:</w:t>
            </w:r>
          </w:p>
          <w:p w:rsidR="00723D57" w:rsidRPr="0076570F" w:rsidRDefault="00723D57" w:rsidP="00412546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повышению эффективности работы организаций медицинской промышленности Новосибирской области, стимулирование увеличения объёмов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723D57" w:rsidRPr="0076570F" w:rsidRDefault="00723D57" w:rsidP="00412546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доклинических (в том числе технических и/или токсикологических) и/или клинических испытаний/исследований медицинских изделий,  лекарственных средств и медицинских технологий, проведенных организациями медицинской промышленности Новосибирской области в 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57" w:rsidRPr="0076570F" w:rsidTr="004405CF">
        <w:trPr>
          <w:cantSplit/>
          <w:trHeight w:val="1877"/>
        </w:trPr>
        <w:tc>
          <w:tcPr>
            <w:tcW w:w="3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57" w:rsidRPr="0076570F" w:rsidRDefault="00723D57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723D57" w:rsidRPr="0076570F" w:rsidRDefault="00723D57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образцов продукции медицинских изделий, лекарственных средств и медицинских технологий, готовых к обязательным видам испытаний в 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D57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76570F" w:rsidTr="004405CF">
        <w:trPr>
          <w:cantSplit/>
          <w:trHeight w:val="1877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76570F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2 подпрограммы 3:</w:t>
            </w:r>
          </w:p>
          <w:p w:rsidR="004F4112" w:rsidRPr="0076570F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развитию инфраструктуры медицинской промышленности в Новосибирской области</w:t>
            </w:r>
          </w:p>
          <w:p w:rsidR="004F4112" w:rsidRPr="0076570F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76570F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76570F" w:rsidRDefault="004F4112" w:rsidP="00412546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</w:t>
            </w:r>
            <w:r w:rsidR="00412546"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  <w:r w:rsidRPr="0076570F">
              <w:rPr>
                <w:rFonts w:ascii="Calibri" w:eastAsia="Calibri" w:hAnsi="Calibri" w:cs="Times New Roman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в 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723D57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1348D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1348D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6570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4112" w:rsidRPr="00DC720F" w:rsidRDefault="000B1C2C" w:rsidP="005D0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4112" w:rsidRPr="00DC720F" w:rsidSect="00315222">
          <w:footerReference w:type="default" r:id="rId8"/>
          <w:pgSz w:w="16838" w:h="11906" w:orient="landscape"/>
          <w:pgMar w:top="993" w:right="536" w:bottom="567" w:left="1134" w:header="426" w:footer="444" w:gutter="0"/>
          <w:pgNumType w:start="1"/>
          <w:cols w:space="708"/>
          <w:docGrid w:linePitch="360"/>
        </w:sectPr>
      </w:pPr>
      <w:r w:rsidRPr="00DC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»</w:t>
      </w:r>
    </w:p>
    <w:p w:rsidR="000A3886" w:rsidRPr="00450C7E" w:rsidRDefault="00E43CC9" w:rsidP="00E43C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0A3886" w:rsidRPr="00F5432E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0A3886" w:rsidRPr="00450C7E"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3886" w:rsidRPr="00F5432E" w:rsidRDefault="000A3886" w:rsidP="000A3886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>к приказу министерства промышленности, торговли и развития предпринимательства Новосибирской области</w:t>
      </w:r>
    </w:p>
    <w:p w:rsidR="000A3886" w:rsidRPr="00F5432E" w:rsidRDefault="000A3886" w:rsidP="000A3886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>от___.___.201</w:t>
      </w:r>
      <w:r w:rsidR="00B52419">
        <w:rPr>
          <w:rFonts w:ascii="Times New Roman" w:eastAsia="Calibri" w:hAnsi="Times New Roman" w:cs="Times New Roman"/>
          <w:sz w:val="28"/>
          <w:szCs w:val="28"/>
        </w:rPr>
        <w:t>_</w:t>
      </w:r>
      <w:r w:rsidR="000B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432E">
        <w:rPr>
          <w:rFonts w:ascii="Times New Roman" w:eastAsia="Calibri" w:hAnsi="Times New Roman" w:cs="Times New Roman"/>
          <w:sz w:val="28"/>
          <w:szCs w:val="28"/>
        </w:rPr>
        <w:t>№___</w:t>
      </w:r>
    </w:p>
    <w:p w:rsidR="00E43CC9" w:rsidRPr="00C73163" w:rsidRDefault="000A3886" w:rsidP="00E43C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43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2296" w:rsidRPr="000B1C2C" w:rsidRDefault="00472296" w:rsidP="004722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72296" w:rsidRPr="00DC720F" w:rsidRDefault="000B1C2C" w:rsidP="004722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C720F">
        <w:rPr>
          <w:rFonts w:ascii="Times New Roman" w:eastAsia="Calibri" w:hAnsi="Times New Roman" w:cs="Times New Roman"/>
          <w:sz w:val="28"/>
          <w:szCs w:val="28"/>
        </w:rPr>
        <w:t>«</w:t>
      </w:r>
      <w:r w:rsidR="00472296" w:rsidRPr="00DC720F">
        <w:rPr>
          <w:rFonts w:ascii="Times New Roman" w:eastAsia="Calibri" w:hAnsi="Times New Roman" w:cs="Times New Roman"/>
          <w:sz w:val="28"/>
          <w:szCs w:val="28"/>
        </w:rPr>
        <w:t>Таблица №</w:t>
      </w:r>
      <w:r w:rsidRPr="00DC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296" w:rsidRPr="00DC720F">
        <w:rPr>
          <w:rFonts w:ascii="Times New Roman" w:eastAsia="Calibri" w:hAnsi="Times New Roman" w:cs="Times New Roman"/>
          <w:sz w:val="28"/>
          <w:szCs w:val="28"/>
        </w:rPr>
        <w:t>3</w:t>
      </w:r>
    </w:p>
    <w:p w:rsidR="00E43CC9" w:rsidRPr="000B1C2C" w:rsidRDefault="00E43CC9" w:rsidP="00E43C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70F25" w:rsidRPr="004405CF" w:rsidRDefault="005D03DE" w:rsidP="00E43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перечень планируемых к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</w:t>
      </w:r>
      <w:r w:rsidRPr="0076570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2015-2020 </w:t>
      </w:r>
      <w:r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 на очередной 201</w:t>
      </w:r>
      <w:r w:rsidR="001348D2"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1348D2"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1348D2"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6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E43CC9" w:rsidRPr="004405CF" w:rsidRDefault="00E43CC9" w:rsidP="00E43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CC9" w:rsidRPr="004405CF" w:rsidRDefault="00E43CC9" w:rsidP="00E43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1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2"/>
        <w:gridCol w:w="1782"/>
        <w:gridCol w:w="628"/>
        <w:gridCol w:w="709"/>
        <w:gridCol w:w="709"/>
        <w:gridCol w:w="141"/>
        <w:gridCol w:w="567"/>
        <w:gridCol w:w="993"/>
        <w:gridCol w:w="141"/>
        <w:gridCol w:w="709"/>
        <w:gridCol w:w="567"/>
        <w:gridCol w:w="708"/>
        <w:gridCol w:w="993"/>
        <w:gridCol w:w="1134"/>
        <w:gridCol w:w="993"/>
        <w:gridCol w:w="992"/>
        <w:gridCol w:w="1843"/>
      </w:tblGrid>
      <w:tr w:rsidR="00D70F25" w:rsidRPr="0076570F" w:rsidTr="00E43CC9">
        <w:trPr>
          <w:trHeight w:val="720"/>
          <w:tblCellSpacing w:w="5" w:type="nil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бюджетной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72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-ля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201</w:t>
            </w:r>
            <w:r w:rsidR="00723D57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72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очередной финансовый 201</w:t>
            </w:r>
            <w:r w:rsidR="00723D57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(поквартально)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5A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201</w:t>
            </w:r>
            <w:r w:rsidR="005A04F4"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5A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20</w:t>
            </w:r>
            <w:r w:rsidR="005A04F4"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D70F25" w:rsidRPr="0076570F" w:rsidTr="00E43CC9">
        <w:trPr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blCellSpacing w:w="5" w:type="nil"/>
        </w:trPr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70F25" w:rsidRPr="0076570F" w:rsidTr="00E43CC9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наукоёмкой продукции</w:t>
            </w:r>
          </w:p>
        </w:tc>
      </w:tr>
      <w:tr w:rsidR="00D70F25" w:rsidRPr="0076570F" w:rsidTr="00E43CC9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1.1. Задача 1 государственной программы: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содействие развитию производственно-технологического потенциала промышленных организаций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D70F25" w:rsidRPr="0076570F" w:rsidTr="00E43CC9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D70F25" w:rsidRPr="0076570F" w:rsidTr="00E43CC9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 Цель подпрограммы 1: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производственно-технологического потенциала промышленных организаций</w:t>
            </w:r>
            <w:r w:rsidRPr="0076570F" w:rsidDel="009B38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Новосибирской области</w:t>
            </w:r>
          </w:p>
        </w:tc>
      </w:tr>
      <w:tr w:rsidR="00D70F25" w:rsidRPr="0076570F" w:rsidTr="00E43CC9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1.1.1.1.1.Задача 1.1 подпрограммы 1: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промышленных организаций к внедрению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      </w:r>
          </w:p>
        </w:tc>
      </w:tr>
      <w:tr w:rsidR="00332C9A" w:rsidRPr="0076570F" w:rsidTr="00E43CC9">
        <w:trPr>
          <w:trHeight w:val="720"/>
          <w:tblCellSpacing w:w="5" w:type="nil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1.1.1.1.1.1. </w:t>
            </w:r>
          </w:p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Предоставление субсидий  на возмещение части затрат на приобретенное новое основное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технологическое оборудование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единиц нового основного технологического оборудования, приобретенного промышленными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организациями в </w:t>
            </w:r>
            <w:proofErr w:type="gramStart"/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рамках</w:t>
            </w:r>
            <w:proofErr w:type="gramEnd"/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мероприятий подпрограммы, ед.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единиц </w:t>
            </w:r>
            <w:proofErr w:type="gramStart"/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нового основного технологического оборудования, приобретенного промышленными организациями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составит</w:t>
            </w:r>
            <w:proofErr w:type="gramEnd"/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7</w:t>
            </w:r>
            <w:r w:rsidR="001348D2"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  <w:p w:rsidR="00332C9A" w:rsidRPr="0076570F" w:rsidRDefault="00332C9A" w:rsidP="00E1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капитал, привлекаемых в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технического перевооружения (в части новых машин и оборудования), при государственной поддержке в рамках реализации мероприятий подпрограммы не </w:t>
            </w:r>
            <w:r w:rsidRPr="00745D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менее 5</w:t>
            </w:r>
            <w:r w:rsidR="00E1199B" w:rsidRPr="00745D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  <w:r w:rsidRPr="00745D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000,0</w:t>
            </w:r>
            <w:r w:rsidRPr="00E1199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32C9A" w:rsidRPr="0076570F" w:rsidTr="00E43CC9">
        <w:trPr>
          <w:trHeight w:val="376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C9A" w:rsidRPr="0076570F" w:rsidTr="00E43CC9">
        <w:trPr>
          <w:trHeight w:val="540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C9A" w:rsidRPr="0076570F" w:rsidTr="00E43CC9">
        <w:trPr>
          <w:trHeight w:val="265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2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411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291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453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C9A" w:rsidRPr="0076570F" w:rsidTr="00E43CC9">
        <w:trPr>
          <w:trHeight w:val="254"/>
          <w:tblCellSpacing w:w="5" w:type="nil"/>
        </w:trPr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1 государственной программы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E43CC9">
        <w:trPr>
          <w:trHeight w:val="396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297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36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1.1.1.1.2. Задача 1.2.: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332C9A" w:rsidRPr="0076570F" w:rsidTr="00E43CC9">
        <w:trPr>
          <w:trHeight w:val="720"/>
          <w:tblCellSpacing w:w="5" w:type="nil"/>
        </w:trPr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1.1.1.1.1.2. Предоставление субсидий на возмещение части затрат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A" w:rsidRPr="0076570F" w:rsidRDefault="00332C9A" w:rsidP="00D70F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мероприятий подпрограммы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9A" w:rsidRPr="0076570F" w:rsidRDefault="00332C9A" w:rsidP="00D70F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подпрограммы составит не менее 1</w:t>
            </w:r>
            <w:r w:rsidR="001348D2"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  <w:p w:rsidR="00332C9A" w:rsidRPr="0076570F" w:rsidRDefault="00332C9A" w:rsidP="00E1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вложений на проведение опытно-конструкторских и технологических работ при государственной поддержке в рамках реализации мероприятий подпрограммы не </w:t>
            </w:r>
            <w:r w:rsidRPr="00745D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менее 1</w:t>
            </w:r>
            <w:r w:rsidR="00E1199B" w:rsidRPr="00745D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45D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0 000,0</w:t>
            </w:r>
            <w:r w:rsidRPr="00E1199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D70F25" w:rsidRPr="0076570F" w:rsidTr="00E43CC9">
        <w:trPr>
          <w:trHeight w:val="151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единицы*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E43CC9">
        <w:trPr>
          <w:trHeight w:val="54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E43CC9">
        <w:trPr>
          <w:trHeight w:val="205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357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273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36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E43CC9">
        <w:trPr>
          <w:trHeight w:val="254"/>
          <w:tblCellSpacing w:w="5" w:type="nil"/>
        </w:trPr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1 государственной программы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6A8E" w:rsidRPr="0076570F" w:rsidTr="00E43CC9">
        <w:trPr>
          <w:trHeight w:val="396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E43CC9">
        <w:trPr>
          <w:trHeight w:val="297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E43CC9">
        <w:trPr>
          <w:trHeight w:val="36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E43CC9">
        <w:trPr>
          <w:trHeight w:val="273"/>
          <w:tblCellSpacing w:w="5" w:type="nil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1 государственной программы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1348D2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58 000,0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E43CC9">
        <w:trPr>
          <w:trHeight w:val="418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227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E43CC9">
        <w:trPr>
          <w:trHeight w:val="360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F25" w:rsidRPr="0076570F" w:rsidRDefault="00D70F25" w:rsidP="00D70F25">
      <w:pPr>
        <w:rPr>
          <w:rFonts w:ascii="Calibri" w:eastAsia="Calibri" w:hAnsi="Calibri" w:cs="Times New Roman"/>
          <w:sz w:val="2"/>
          <w:szCs w:val="2"/>
        </w:rPr>
      </w:pPr>
      <w:r w:rsidRPr="0076570F">
        <w:rPr>
          <w:rFonts w:ascii="Calibri" w:eastAsia="Calibri" w:hAnsi="Calibri" w:cs="Times New Roman"/>
        </w:rPr>
        <w:br w:type="page"/>
      </w:r>
    </w:p>
    <w:tbl>
      <w:tblPr>
        <w:tblW w:w="15170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3"/>
        <w:gridCol w:w="1783"/>
        <w:gridCol w:w="629"/>
        <w:gridCol w:w="709"/>
        <w:gridCol w:w="850"/>
        <w:gridCol w:w="567"/>
        <w:gridCol w:w="1134"/>
        <w:gridCol w:w="567"/>
        <w:gridCol w:w="990"/>
        <w:gridCol w:w="567"/>
        <w:gridCol w:w="850"/>
        <w:gridCol w:w="1134"/>
        <w:gridCol w:w="1134"/>
        <w:gridCol w:w="1134"/>
        <w:gridCol w:w="1559"/>
      </w:tblGrid>
      <w:tr w:rsidR="00D70F25" w:rsidRPr="0076570F" w:rsidTr="0076570F">
        <w:trPr>
          <w:trHeight w:val="360"/>
          <w:tblCellSpacing w:w="5" w:type="nil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 Задача 2 государственной программы: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содействие развитию исследований и разработок, обеспечивающих создание новых материалов, технологий и высокотехнологичной продукции в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 2 «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1.2.1.1. Цель подпрограммы 2: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1.2.1.1.1. Задача 1.1 подпрограммы 2: формирование организационных и финансовых условий для проведения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научно-производственными центрами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нанотехнологий</w:t>
            </w:r>
            <w:proofErr w:type="spellEnd"/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1.2.1.1.1.1. Предоставление субсидий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 центрам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проведение комплекса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разработанных в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образцов инновационной высокотехнологичной продукции, новых технологий, материалов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13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не менее </w:t>
            </w:r>
            <w:r w:rsidR="001348D2"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28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новых материалов, технологий, опытных образцов инновационной продукции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A8E" w:rsidRPr="0076570F" w:rsidTr="0076570F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44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A8E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1.2.1.1.2.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1.2 подпрограммы 2: развитие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научно-исследовательской и опытно-экспериментальной базы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научно-производственных центров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обеспечивающей 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1.2.1.1.1.2.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Предоставление субсидий научно-производственным центрам на приобретение специального исследовательского, опытно-экспериментального оборудования и приборов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приобретенного в </w:t>
            </w:r>
            <w:proofErr w:type="gramStart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специального исследовательского, опытно-экспериментального оборудования и приборов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научно-производственными центрами</w:t>
            </w:r>
            <w:r w:rsidRPr="007657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6 ед. специального исследовательского, опытно-экспериментального оборудования и приборов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E9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E96A8E"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76570F">
        <w:trPr>
          <w:trHeight w:val="77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316"/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783"/>
        <w:gridCol w:w="629"/>
        <w:gridCol w:w="709"/>
        <w:gridCol w:w="850"/>
        <w:gridCol w:w="567"/>
        <w:gridCol w:w="1134"/>
        <w:gridCol w:w="567"/>
        <w:gridCol w:w="990"/>
        <w:gridCol w:w="848"/>
        <w:gridCol w:w="145"/>
        <w:gridCol w:w="992"/>
        <w:gridCol w:w="1134"/>
        <w:gridCol w:w="1134"/>
        <w:gridCol w:w="848"/>
        <w:gridCol w:w="1566"/>
      </w:tblGrid>
      <w:tr w:rsidR="00D70F25" w:rsidRPr="0076570F" w:rsidTr="00D70F25">
        <w:trPr>
          <w:trHeight w:val="455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1.3. Задача 3 государственной программы: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создание условий для развития медицинской промышленности Новосибирской области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1.3.1.1. Цель подпрограммы 3: </w:t>
            </w:r>
            <w:r w:rsidRPr="00765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создание условий для развития медицинской промышленности на территории Новосибирской области.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объёмов производства продукции, имеющей стабильный спрос на российском рынке, инновационной продукции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1.3.1.1.1.1. Предоставление субсидий организациям медицинской промышленности на проведение доклинических (в том числе технических и/или токсикологических) и/или клинических испытаний/исследований медицинских изделий,  лекарственных средств и медицинских технологий.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доклинических (в том числе технических и/или токсикологических) и/или клинических испытаний/исследований</w:t>
            </w:r>
            <w:r w:rsidRPr="0076570F">
              <w:rPr>
                <w:rFonts w:ascii="Calibri" w:eastAsia="Calibri" w:hAnsi="Calibri" w:cs="Times New Roman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медицинских изделий, лекарственных средств и медицинских технологий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>, проведенных организациями медицинской промышленности Новосибирской области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 в рамках реализации подпрограммы,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3745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3745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37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</w:t>
            </w:r>
            <w:r w:rsidRPr="0076570F">
              <w:rPr>
                <w:rFonts w:ascii="Calibri" w:eastAsia="Calibri" w:hAnsi="Calibri" w:cs="Times New Roman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медицинских изделий, лекарственных средств и медицинских технологий –1</w:t>
            </w:r>
            <w:r w:rsidR="00D37452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1348D2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1.3.1.1.1.2. Предоставление субсидий организациям медицинской промышленности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образцов продукции медицинских изделий, лекарственных средств и медицинских технологий, готовых к обязательным видам испытаний, в рамках реализации подпрограммы, 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13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образцов продукции медицинских изделий, лекарственных средств и медицинских технологий, готовых к обязательным видам испытаний – 1</w:t>
            </w:r>
            <w:r w:rsidR="001348D2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единиц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D70F25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D70F25"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1.3.1.1.2. Задача 1.2 подпрограммы 3.: содействие развитию инфраструктуры медицинской промышленности в Новосибирской области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1.3.1.1.2.1. Предоставление субсидий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организациям медицинской промышленности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Количество созданных и/или усовершенствован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рамках реализации подпрограммы,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и/или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3 единицы</w:t>
            </w:r>
          </w:p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единицы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E9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="00E96A8E"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="00E96A8E"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на решение задачи 1.2. цели 1 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подпрограммы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государственной программе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E96A8E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76570F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57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76570F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F25" w:rsidRPr="00D70F25" w:rsidRDefault="00D70F25" w:rsidP="00D70F25">
      <w:pPr>
        <w:rPr>
          <w:rFonts w:ascii="Calibri" w:eastAsia="Calibri" w:hAnsi="Calibri" w:cs="Times New Roman"/>
          <w:sz w:val="2"/>
          <w:szCs w:val="2"/>
        </w:rPr>
      </w:pPr>
      <w:r w:rsidRPr="0076570F">
        <w:rPr>
          <w:rFonts w:ascii="Times New Roman" w:eastAsia="Calibri" w:hAnsi="Times New Roman" w:cs="Times New Roman"/>
          <w:sz w:val="20"/>
          <w:szCs w:val="20"/>
        </w:rPr>
        <w:t xml:space="preserve">*в связи с тем, что субсидирование части затрат в рамках государственной программы </w:t>
      </w:r>
      <w:proofErr w:type="gramStart"/>
      <w:r w:rsidRPr="0076570F">
        <w:rPr>
          <w:rFonts w:ascii="Times New Roman" w:eastAsia="Calibri" w:hAnsi="Times New Roman" w:cs="Times New Roman"/>
          <w:sz w:val="20"/>
          <w:szCs w:val="20"/>
        </w:rPr>
        <w:t>осуществляется на конкурсной основе и участие в конкурсе носит</w:t>
      </w:r>
      <w:proofErr w:type="gramEnd"/>
      <w:r w:rsidRPr="0076570F">
        <w:rPr>
          <w:rFonts w:ascii="Times New Roman" w:eastAsia="Calibri" w:hAnsi="Times New Roman" w:cs="Times New Roman"/>
          <w:sz w:val="20"/>
          <w:szCs w:val="20"/>
        </w:rPr>
        <w:t xml:space="preserve"> заявительный характер, стоимость единицы не планируется»</w:t>
      </w:r>
    </w:p>
    <w:p w:rsidR="00D70F25" w:rsidRPr="00D70F25" w:rsidRDefault="00D70F25" w:rsidP="00D70F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0F25" w:rsidRPr="00D70F25" w:rsidRDefault="00D70F25" w:rsidP="005D0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25" w:rsidRPr="00D70F25" w:rsidRDefault="00D70F25" w:rsidP="005D0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3DE" w:rsidRPr="005D03DE" w:rsidRDefault="005D03DE" w:rsidP="005D03DE">
      <w:pPr>
        <w:jc w:val="center"/>
      </w:pP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5D03DE">
        <w:softHyphen/>
      </w:r>
      <w:r w:rsidRPr="005D03DE">
        <w:softHyphen/>
      </w:r>
      <w:r>
        <w:t>___________________</w:t>
      </w:r>
    </w:p>
    <w:p w:rsidR="001519FE" w:rsidRPr="005D03DE" w:rsidRDefault="001519FE" w:rsidP="005D03DE">
      <w:pPr>
        <w:tabs>
          <w:tab w:val="left" w:pos="11068"/>
        </w:tabs>
      </w:pPr>
    </w:p>
    <w:sectPr w:rsidR="001519FE" w:rsidRPr="005D03DE" w:rsidSect="00D70F2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4F" w:rsidRDefault="0042324F">
      <w:pPr>
        <w:spacing w:after="0" w:line="240" w:lineRule="auto"/>
      </w:pPr>
      <w:r>
        <w:separator/>
      </w:r>
    </w:p>
  </w:endnote>
  <w:endnote w:type="continuationSeparator" w:id="0">
    <w:p w:rsidR="0042324F" w:rsidRDefault="0042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5CF" w:rsidRPr="00CC4D5D" w:rsidRDefault="004405CF" w:rsidP="004405CF">
    <w:pPr>
      <w:pStyle w:val="a3"/>
      <w:jc w:val="center"/>
      <w:rPr>
        <w:sz w:val="20"/>
        <w:szCs w:val="20"/>
      </w:rPr>
    </w:pPr>
    <w:r w:rsidRPr="00CC4D5D">
      <w:rPr>
        <w:sz w:val="20"/>
        <w:szCs w:val="20"/>
      </w:rPr>
      <w:fldChar w:fldCharType="begin"/>
    </w:r>
    <w:r w:rsidRPr="00CC4D5D">
      <w:rPr>
        <w:sz w:val="20"/>
        <w:szCs w:val="20"/>
      </w:rPr>
      <w:instrText>PAGE   \* MERGEFORMAT</w:instrText>
    </w:r>
    <w:r w:rsidRPr="00CC4D5D">
      <w:rPr>
        <w:sz w:val="20"/>
        <w:szCs w:val="20"/>
      </w:rPr>
      <w:fldChar w:fldCharType="separate"/>
    </w:r>
    <w:r w:rsidR="007830BB">
      <w:rPr>
        <w:noProof/>
        <w:sz w:val="20"/>
        <w:szCs w:val="20"/>
      </w:rPr>
      <w:t>1</w:t>
    </w:r>
    <w:r w:rsidRPr="00CC4D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4F" w:rsidRDefault="0042324F">
      <w:pPr>
        <w:spacing w:after="0" w:line="240" w:lineRule="auto"/>
      </w:pPr>
      <w:r>
        <w:separator/>
      </w:r>
    </w:p>
  </w:footnote>
  <w:footnote w:type="continuationSeparator" w:id="0">
    <w:p w:rsidR="0042324F" w:rsidRDefault="0042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12"/>
    <w:rsid w:val="0003797E"/>
    <w:rsid w:val="00051512"/>
    <w:rsid w:val="0005309F"/>
    <w:rsid w:val="00081B62"/>
    <w:rsid w:val="0009259B"/>
    <w:rsid w:val="0009438F"/>
    <w:rsid w:val="000951E6"/>
    <w:rsid w:val="000A3886"/>
    <w:rsid w:val="000B1C2C"/>
    <w:rsid w:val="000E739C"/>
    <w:rsid w:val="001348D2"/>
    <w:rsid w:val="001519FE"/>
    <w:rsid w:val="00195980"/>
    <w:rsid w:val="001A61EB"/>
    <w:rsid w:val="001D4EA0"/>
    <w:rsid w:val="001E13CF"/>
    <w:rsid w:val="001E2149"/>
    <w:rsid w:val="00257EFA"/>
    <w:rsid w:val="002D3DB4"/>
    <w:rsid w:val="002F5D30"/>
    <w:rsid w:val="00315222"/>
    <w:rsid w:val="00332C9A"/>
    <w:rsid w:val="003674A6"/>
    <w:rsid w:val="00387FDC"/>
    <w:rsid w:val="0040736D"/>
    <w:rsid w:val="00412546"/>
    <w:rsid w:val="0042324F"/>
    <w:rsid w:val="004251E7"/>
    <w:rsid w:val="004405CF"/>
    <w:rsid w:val="00472296"/>
    <w:rsid w:val="004A3232"/>
    <w:rsid w:val="004A6B06"/>
    <w:rsid w:val="004B44AD"/>
    <w:rsid w:val="004B4CD2"/>
    <w:rsid w:val="004F4112"/>
    <w:rsid w:val="00520AFA"/>
    <w:rsid w:val="0058592C"/>
    <w:rsid w:val="005A04F4"/>
    <w:rsid w:val="005D03DE"/>
    <w:rsid w:val="005D121B"/>
    <w:rsid w:val="005E313D"/>
    <w:rsid w:val="005E377A"/>
    <w:rsid w:val="006330EF"/>
    <w:rsid w:val="00650F37"/>
    <w:rsid w:val="00690831"/>
    <w:rsid w:val="006C07D9"/>
    <w:rsid w:val="006C71A4"/>
    <w:rsid w:val="006D2564"/>
    <w:rsid w:val="006D434E"/>
    <w:rsid w:val="006D7059"/>
    <w:rsid w:val="0070279A"/>
    <w:rsid w:val="00723D57"/>
    <w:rsid w:val="0073372B"/>
    <w:rsid w:val="00745DAE"/>
    <w:rsid w:val="0076570F"/>
    <w:rsid w:val="00770C88"/>
    <w:rsid w:val="007830BB"/>
    <w:rsid w:val="007A3B0F"/>
    <w:rsid w:val="007C6479"/>
    <w:rsid w:val="007D4A62"/>
    <w:rsid w:val="007E0867"/>
    <w:rsid w:val="007F2BD9"/>
    <w:rsid w:val="00813A4F"/>
    <w:rsid w:val="00813C3B"/>
    <w:rsid w:val="00817C7F"/>
    <w:rsid w:val="00837E46"/>
    <w:rsid w:val="00854566"/>
    <w:rsid w:val="0086611E"/>
    <w:rsid w:val="00890AE6"/>
    <w:rsid w:val="008957D6"/>
    <w:rsid w:val="008D1D57"/>
    <w:rsid w:val="008E37F2"/>
    <w:rsid w:val="009E4686"/>
    <w:rsid w:val="009F13AA"/>
    <w:rsid w:val="00A0731B"/>
    <w:rsid w:val="00A15C51"/>
    <w:rsid w:val="00A320E4"/>
    <w:rsid w:val="00A407F2"/>
    <w:rsid w:val="00AC1162"/>
    <w:rsid w:val="00AE58AE"/>
    <w:rsid w:val="00AF6D3E"/>
    <w:rsid w:val="00B03AB9"/>
    <w:rsid w:val="00B10FC7"/>
    <w:rsid w:val="00B11A4A"/>
    <w:rsid w:val="00B1234B"/>
    <w:rsid w:val="00B421D6"/>
    <w:rsid w:val="00B52419"/>
    <w:rsid w:val="00BA0387"/>
    <w:rsid w:val="00BA7CE7"/>
    <w:rsid w:val="00BB478F"/>
    <w:rsid w:val="00BB4BCF"/>
    <w:rsid w:val="00BB5D81"/>
    <w:rsid w:val="00BC2D5C"/>
    <w:rsid w:val="00BC4281"/>
    <w:rsid w:val="00C159A2"/>
    <w:rsid w:val="00C34F54"/>
    <w:rsid w:val="00C46414"/>
    <w:rsid w:val="00C73163"/>
    <w:rsid w:val="00C75A38"/>
    <w:rsid w:val="00CA641B"/>
    <w:rsid w:val="00CE3A34"/>
    <w:rsid w:val="00CF6EB0"/>
    <w:rsid w:val="00D36D61"/>
    <w:rsid w:val="00D37452"/>
    <w:rsid w:val="00D70F25"/>
    <w:rsid w:val="00D95502"/>
    <w:rsid w:val="00DC3CC9"/>
    <w:rsid w:val="00DC720F"/>
    <w:rsid w:val="00DD2837"/>
    <w:rsid w:val="00DF23C1"/>
    <w:rsid w:val="00DF657F"/>
    <w:rsid w:val="00E1199B"/>
    <w:rsid w:val="00E16651"/>
    <w:rsid w:val="00E42895"/>
    <w:rsid w:val="00E43CC9"/>
    <w:rsid w:val="00E84B33"/>
    <w:rsid w:val="00E96A8E"/>
    <w:rsid w:val="00F04A94"/>
    <w:rsid w:val="00F757BE"/>
    <w:rsid w:val="00FB1B0D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Шапурина Ангелина Сергеевна</dc:creator>
  <cp:lastModifiedBy>Шапурина Ангелина Сергеевна</cp:lastModifiedBy>
  <cp:revision>6</cp:revision>
  <cp:lastPrinted>2017-12-12T03:11:00Z</cp:lastPrinted>
  <dcterms:created xsi:type="dcterms:W3CDTF">2017-12-07T04:11:00Z</dcterms:created>
  <dcterms:modified xsi:type="dcterms:W3CDTF">2017-12-12T04:28:00Z</dcterms:modified>
</cp:coreProperties>
</file>