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50" w:rsidRDefault="009E39A6">
      <w:pPr>
        <w:pStyle w:val="ConsPlusNormal"/>
        <w:keepNext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3150" w:rsidRDefault="009E39A6">
      <w:pPr>
        <w:pStyle w:val="ConsPlusNormal"/>
        <w:keepNext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03150" w:rsidRDefault="009E39A6">
      <w:pPr>
        <w:pStyle w:val="ConsPlusNormal"/>
        <w:keepNext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3150" w:rsidRDefault="00603150">
      <w:pPr>
        <w:pStyle w:val="ConsPlusNormal"/>
        <w:keepNext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150" w:rsidRDefault="00603150">
      <w:pPr>
        <w:pStyle w:val="ConsPlusNormal"/>
        <w:keepNext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150" w:rsidRDefault="009E39A6">
      <w:pPr>
        <w:pStyle w:val="ConsPlusTitle"/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03150" w:rsidRDefault="009E39A6">
      <w:pPr>
        <w:pStyle w:val="ConsPlusNormal"/>
        <w:keepNext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принятия решения о даче согласия государственным унитарным предприятиям Новосибирской области и государственным учреждениям Новосибирской области на списание имущества, находящегося в государственной собственности Новосибирской области</w:t>
      </w:r>
    </w:p>
    <w:p w:rsidR="00603150" w:rsidRDefault="00603150">
      <w:pPr>
        <w:pStyle w:val="ConsPlusNormal"/>
        <w:keepNext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03150" w:rsidRDefault="009E39A6">
      <w:pPr>
        <w:pStyle w:val="ConsPlusNormal"/>
        <w:keepNext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603150" w:rsidRDefault="00603150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разработан в соответствии с Законом Новосибирской области от 06.07.2018 № 271-ОЗ «Об управлении и распоряжении государственной собственностью Новосибирской области» и устанавливает процедуру принятия решения о даче согласия государств</w:t>
      </w:r>
      <w:r>
        <w:rPr>
          <w:rFonts w:ascii="Times New Roman" w:hAnsi="Times New Roman"/>
          <w:sz w:val="28"/>
          <w:szCs w:val="28"/>
        </w:rPr>
        <w:t>енным унитарным предприятиям Новосибирской области и государственным учреждениям Новосибирской области на списание имущества, находящегося в государственной собственности Новосибирской области и принадлежащего им на праве хозяйственного ведения или операти</w:t>
      </w:r>
      <w:r>
        <w:rPr>
          <w:rFonts w:ascii="Times New Roman" w:hAnsi="Times New Roman"/>
          <w:sz w:val="28"/>
          <w:szCs w:val="28"/>
        </w:rPr>
        <w:t>вного управления (далее – областное имущество).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настоящем Порядке под списанием областного имущества понимается комплекс действий, связанных с признанием областного имущества непригодным для дальнейшего использования и (или) распоряжения вследствие по</w:t>
      </w:r>
      <w:r>
        <w:rPr>
          <w:rFonts w:ascii="Times New Roman" w:hAnsi="Times New Roman"/>
          <w:sz w:val="28"/>
          <w:szCs w:val="28"/>
        </w:rPr>
        <w:t>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в том числе помимо воли государственного унитарного предприятия Новос</w:t>
      </w:r>
      <w:r>
        <w:rPr>
          <w:rFonts w:ascii="Times New Roman" w:hAnsi="Times New Roman"/>
          <w:sz w:val="28"/>
          <w:szCs w:val="28"/>
        </w:rPr>
        <w:t>ибирской области, государственного учреждения Новосибирской области, а также с невозможностью установления его местонахождения.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Департамент имущества и земельных отношений Новосибирской области (далее – департамент) принимает решение о даче согласия гос</w:t>
      </w:r>
      <w:r>
        <w:rPr>
          <w:rFonts w:ascii="Times New Roman" w:hAnsi="Times New Roman"/>
          <w:sz w:val="28"/>
          <w:szCs w:val="28"/>
        </w:rPr>
        <w:t>ударственным унитарным предприятиям Новосибирской области и государственным учреждениям Новосибирской области на списание в отношении: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зданий, сооружений, объектов незавершенного строительства, нежилых помещений,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 - мест (далее – недвижимое имущес</w:t>
      </w:r>
      <w:r>
        <w:rPr>
          <w:rFonts w:ascii="Times New Roman" w:hAnsi="Times New Roman"/>
          <w:sz w:val="28"/>
          <w:szCs w:val="28"/>
        </w:rPr>
        <w:t xml:space="preserve">тво);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транспортных средств, принадлежащих на праве оперативного управления государственному казенному учреждению Новосибирской области «Фонд имущества Новосибирской области», казенным предприятиям Новосибирской области, а также транспортных средств, вы</w:t>
      </w:r>
      <w:r>
        <w:rPr>
          <w:rFonts w:ascii="Times New Roman" w:hAnsi="Times New Roman"/>
          <w:sz w:val="28"/>
          <w:szCs w:val="28"/>
        </w:rPr>
        <w:t>бывших из владения, пользования и распоряжения вследствие гибели или уничтожения либо с невозможностью установления их местонахождения, принадлежащих на праве оперативного управления государственным учреждениям Новосибирской области;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иного движимого иму</w:t>
      </w:r>
      <w:r>
        <w:rPr>
          <w:rFonts w:ascii="Times New Roman" w:hAnsi="Times New Roman"/>
          <w:sz w:val="28"/>
          <w:szCs w:val="28"/>
        </w:rPr>
        <w:t xml:space="preserve">щества, отнесенного к особо ценному, принадлежащего на праве оперативного управления государственным бюджетным </w:t>
      </w:r>
      <w:r>
        <w:rPr>
          <w:rFonts w:ascii="Times New Roman" w:hAnsi="Times New Roman"/>
          <w:sz w:val="28"/>
          <w:szCs w:val="28"/>
        </w:rPr>
        <w:lastRenderedPageBreak/>
        <w:t>и автономным учреждениям Новосибирской области;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иного движимого имущества, принадлежащего на праве оперативного управления казенным предприяти</w:t>
      </w:r>
      <w:r>
        <w:rPr>
          <w:rFonts w:ascii="Times New Roman" w:hAnsi="Times New Roman"/>
          <w:sz w:val="28"/>
          <w:szCs w:val="28"/>
        </w:rPr>
        <w:t>ям Новосибирской области, государственным казенным учреждениям Новосибирской области.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даче согласия на списание нежилых помещений,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 принимается департаментом в случае сноса здания или сооружения, в которых они расположены.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Областной</w:t>
      </w:r>
      <w:r>
        <w:rPr>
          <w:rFonts w:ascii="Times New Roman" w:hAnsi="Times New Roman"/>
          <w:sz w:val="28"/>
          <w:szCs w:val="28"/>
        </w:rPr>
        <w:t xml:space="preserve"> исполнительный орган Новосибирской области, которому подведомственно государственное унитарное предприятие Новосибирской области, государственное учреждение Новосибирской области (далее – исполнительный орган Новосибирской области), принимает решение о да</w:t>
      </w:r>
      <w:r>
        <w:rPr>
          <w:rFonts w:ascii="Times New Roman" w:hAnsi="Times New Roman"/>
          <w:sz w:val="28"/>
          <w:szCs w:val="28"/>
        </w:rPr>
        <w:t>че согласия государственным унитарным предприятиям Новосибирской области и государственным учреждениям Новосибирской области на списание в отношении жилых помещений, принадлежащих государственным унитарным предприятиям Новосибирской области и государственн</w:t>
      </w:r>
      <w:r>
        <w:rPr>
          <w:rFonts w:ascii="Times New Roman" w:hAnsi="Times New Roman"/>
          <w:sz w:val="28"/>
          <w:szCs w:val="28"/>
        </w:rPr>
        <w:t>ым учреждениям Новосибирской области (далее – жилое помещение).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даче согласия на списание жилых помещений принимается исполнительным органов государственной власти Новосибирской области в случае сноса здания или многоквартирного дома, в которых о</w:t>
      </w:r>
      <w:r>
        <w:rPr>
          <w:rFonts w:ascii="Times New Roman" w:hAnsi="Times New Roman"/>
          <w:sz w:val="28"/>
          <w:szCs w:val="28"/>
        </w:rPr>
        <w:t xml:space="preserve">ни расположены.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Для принятия решения о даче согласия на списание областного имущества, указанного в пункте 3 настоящего Порядка, государственное унитарное предприятие Новосибирской области, государственное учреждение Новосибирской области представляет </w:t>
      </w:r>
      <w:r>
        <w:rPr>
          <w:rFonts w:ascii="Times New Roman" w:hAnsi="Times New Roman"/>
          <w:sz w:val="28"/>
          <w:szCs w:val="28"/>
        </w:rPr>
        <w:t xml:space="preserve">в департамент заявление о принятии решения о даче согласия на списание областного имущества (далее – заявление) по форме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Порядку и прилагаемые к нему документы, предусмотренные пунктами 14, 16 - 21 настоящего Порядка.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Дл</w:t>
      </w:r>
      <w:r>
        <w:rPr>
          <w:rFonts w:ascii="Times New Roman" w:hAnsi="Times New Roman"/>
          <w:sz w:val="28"/>
          <w:szCs w:val="28"/>
        </w:rPr>
        <w:t>я принятия решения о даче согласия на списание жилого помещения государственное унитарное предприятие Новосибирской области, государственное учреждение Новосибирской области представляет в исполнительный орган Новосибирской области заявление по форме согла</w:t>
      </w:r>
      <w:r>
        <w:rPr>
          <w:rFonts w:ascii="Times New Roman" w:hAnsi="Times New Roman"/>
          <w:sz w:val="28"/>
          <w:szCs w:val="28"/>
        </w:rPr>
        <w:t xml:space="preserve">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Порядку и прилагаемые к нему документы, предусмотренные пунктами 15, 20, 21 настоящего Порядка.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Заявление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прилагаемые к нему документы представляются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 бумажном носителе посредством почтового отправления или в форме электронных документов и (или) электронных образов документов, заверенных усиленной квалифицированной электронной подписью руководителя государственного унитарного предприятия Новосибирской</w:t>
      </w:r>
      <w:r>
        <w:rPr>
          <w:rFonts w:ascii="Times New Roman" w:hAnsi="Times New Roman"/>
          <w:sz w:val="28"/>
          <w:szCs w:val="28"/>
        </w:rPr>
        <w:t xml:space="preserve"> области, государственного учреждения Новосибирской области, путем направления на адрес электронной почты исполнительного органа государственной власти Новосибирской области, департамента или посредством использования государственной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«Система электронного документооборота и делопроизводства Правительства Новосибирской области» (далее – СЭДД).</w:t>
      </w:r>
      <w:r>
        <w:t xml:space="preserve"> 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в форме документа на бумажном носителе представляется в единственном экземпляре-подлиннике. 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Документы, необходимые для принятия реше</w:t>
      </w:r>
      <w:r>
        <w:rPr>
          <w:rFonts w:ascii="Times New Roman" w:hAnsi="Times New Roman"/>
          <w:sz w:val="28"/>
          <w:szCs w:val="28"/>
        </w:rPr>
        <w:t>ния о даче согласия на списание областного имущества, в форме документов на бумажном носителе представляются в виде копий, заверенных подписью руководителя государственного унитарного предприятия Новосибирской области, государственного учреждения Новосибир</w:t>
      </w:r>
      <w:r>
        <w:rPr>
          <w:rFonts w:ascii="Times New Roman" w:hAnsi="Times New Roman"/>
          <w:sz w:val="28"/>
          <w:szCs w:val="28"/>
        </w:rPr>
        <w:t>ской области (уполномоченного им лица) и печатью государственного унитарного предприятия Новосибирской области, государственного учреждения Новосибирской области (при наличии).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В представленных документах не допускается наличие помарок, подчисток, неого</w:t>
      </w:r>
      <w:r>
        <w:rPr>
          <w:rFonts w:ascii="Times New Roman" w:hAnsi="Times New Roman"/>
          <w:sz w:val="28"/>
          <w:szCs w:val="28"/>
        </w:rPr>
        <w:t xml:space="preserve">воренных исправлений, арифметических и грамматических ошибок. 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Рассмотрение заявления и прилагаемых к нему документов осуществляется департаментом, исполнительным органом государственной власти Новосибирской области в течение месяца со дня их регистраци</w:t>
      </w:r>
      <w:r>
        <w:rPr>
          <w:rFonts w:ascii="Times New Roman" w:hAnsi="Times New Roman"/>
          <w:sz w:val="28"/>
          <w:szCs w:val="28"/>
        </w:rPr>
        <w:t>и в СЭДД.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По итогам рассмотрения заявления и прилагаемых к нему документов департамент, исполнительный орган Новосибирской области принимает одно из</w:t>
      </w:r>
      <w:bookmarkStart w:id="1" w:name="_GoBack"/>
      <w:r w:rsidR="000474D5">
        <w:rPr>
          <w:rFonts w:ascii="Times New Roman" w:hAnsi="Times New Roman"/>
          <w:sz w:val="28"/>
          <w:szCs w:val="28"/>
        </w:rPr>
        <w:t> </w:t>
      </w:r>
      <w:bookmarkEnd w:id="1"/>
      <w:r>
        <w:rPr>
          <w:rFonts w:ascii="Times New Roman" w:hAnsi="Times New Roman"/>
          <w:sz w:val="28"/>
          <w:szCs w:val="28"/>
        </w:rPr>
        <w:t>следующих решений: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 даче согласия на списание областного имущества;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 отказе в даче согласия на</w:t>
      </w:r>
      <w:r>
        <w:rPr>
          <w:rFonts w:ascii="Times New Roman" w:hAnsi="Times New Roman"/>
          <w:sz w:val="28"/>
          <w:szCs w:val="28"/>
        </w:rPr>
        <w:t xml:space="preserve"> списание областного имущества.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департамента, исполнительного органа государственной власти Новосибирской области оформляется в виде письма и в течение трех рабочих дней со дня его принятия, но не позднее срока, указанного в пункте 9 настоящего Пор</w:t>
      </w:r>
      <w:r>
        <w:rPr>
          <w:rFonts w:ascii="Times New Roman" w:hAnsi="Times New Roman"/>
          <w:sz w:val="28"/>
          <w:szCs w:val="28"/>
        </w:rPr>
        <w:t xml:space="preserve">ядка, направляется в государственное унитарное предприятие Новосибирской области, государственное учреждение Новосибирской области способом, указанным в заявлении. 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Основаниями для отказа в даче согласия на списание областного имущества являются: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непредставление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пунктами 5 и 6 настоящего Порядка документов, необходимых для принятия решения о даче согласия на списание областного имущества и предусмотренных разделом II настоящего Порядка;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недостоверность сведений, содержащихся </w:t>
      </w:r>
      <w:r>
        <w:rPr>
          <w:rFonts w:ascii="Times New Roman" w:hAnsi="Times New Roman"/>
          <w:sz w:val="28"/>
          <w:szCs w:val="28"/>
        </w:rPr>
        <w:t>в представленных заявлении и (или) приложенных к нему документах;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наличие помарок, подчисток, неоговоренных исправлений, арифметических и грамматических ошибок в представленных заявлении и (или) приложенных к нему документах;</w:t>
      </w:r>
    </w:p>
    <w:p w:rsidR="00603150" w:rsidRDefault="009E39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заявление представлено н</w:t>
      </w:r>
      <w:r>
        <w:rPr>
          <w:rFonts w:ascii="Times New Roman" w:hAnsi="Times New Roman"/>
          <w:sz w:val="28"/>
          <w:szCs w:val="28"/>
        </w:rPr>
        <w:t>е в связи с признанием областного имущества непригодным для дальнейшего использования и (или) распоряжения вследствие полной или частичной утраты потребительских свойств, в том числе физического или морального износа, либо выбывшим из владения, пользования</w:t>
      </w:r>
      <w:r>
        <w:rPr>
          <w:rFonts w:ascii="Times New Roman" w:hAnsi="Times New Roman"/>
          <w:sz w:val="28"/>
          <w:szCs w:val="28"/>
        </w:rPr>
        <w:t xml:space="preserve"> и распоряжения вследствие гибели или уничтожения, в том числе помимо воли государственного унитарного предприятия Новосибирской области, государственного учреждения Новосибирской области, а также с невозможностью установления его местонахождения;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облас</w:t>
      </w:r>
      <w:r>
        <w:rPr>
          <w:rFonts w:ascii="Times New Roman" w:hAnsi="Times New Roman"/>
          <w:sz w:val="28"/>
          <w:szCs w:val="28"/>
        </w:rPr>
        <w:t xml:space="preserve">тное имущество, подлежащее списанию, не является имуществом, </w:t>
      </w:r>
      <w:r>
        <w:rPr>
          <w:rFonts w:ascii="Times New Roman" w:hAnsi="Times New Roman"/>
          <w:sz w:val="28"/>
          <w:szCs w:val="28"/>
        </w:rPr>
        <w:lastRenderedPageBreak/>
        <w:t>указанным в пунктах 3 и 4 настоящего Порядка;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с заявлением обратилось ненадлежащее лицо;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заявление представлено не по форме, установленной приложением к настоящему Порядку.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</w:t>
      </w:r>
      <w:r>
        <w:rPr>
          <w:rFonts w:ascii="Times New Roman" w:hAnsi="Times New Roman"/>
          <w:sz w:val="28"/>
          <w:szCs w:val="28"/>
        </w:rPr>
        <w:t>зе в даче согласия на списание областного имущества должно содержать указание всех причин, послуживших основанием для отказа в даче согласия на списание областного имущества, с обязательной ссылкой на положения настоящего пункта.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Принятие решения о дач</w:t>
      </w:r>
      <w:r>
        <w:rPr>
          <w:rFonts w:ascii="Times New Roman" w:hAnsi="Times New Roman"/>
          <w:sz w:val="28"/>
          <w:szCs w:val="28"/>
        </w:rPr>
        <w:t>е согласия государственному унитарному предприятию Новосибирской области, государственному учреждению Новосибирской области на списание областного имущества осуществляется департаментом, исполнительным органом государственной власти Новосибирской области д</w:t>
      </w:r>
      <w:r>
        <w:rPr>
          <w:rFonts w:ascii="Times New Roman" w:hAnsi="Times New Roman"/>
          <w:sz w:val="28"/>
          <w:szCs w:val="28"/>
        </w:rPr>
        <w:t>о уничтожения областного имущества, за исключением случаев, если областное имущество выбыло из владения, пользования и распоряжения вследствие гибели, уничтожения либо если установить его местонахождение невозможно.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принятия решения о даче согласия на с</w:t>
      </w:r>
      <w:r>
        <w:rPr>
          <w:rFonts w:ascii="Times New Roman" w:hAnsi="Times New Roman"/>
          <w:sz w:val="28"/>
          <w:szCs w:val="28"/>
        </w:rPr>
        <w:t>писание областного имущества его утилизация, снос, демонтаж, иные мероприятия по уничтожению областного имущества не допускаются.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Положения, установленные настоящим Порядком для государственных казенных учреждений Новосибирской области, распространяютс</w:t>
      </w:r>
      <w:r>
        <w:rPr>
          <w:rFonts w:ascii="Times New Roman" w:hAnsi="Times New Roman"/>
          <w:sz w:val="28"/>
          <w:szCs w:val="28"/>
        </w:rPr>
        <w:t>я на областные исполнительные органы государственной власти Новосибирской области, государственные органы Новосибирской области.</w:t>
      </w:r>
    </w:p>
    <w:p w:rsidR="00603150" w:rsidRDefault="00603150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</w:p>
    <w:p w:rsidR="00603150" w:rsidRDefault="009E39A6">
      <w:pPr>
        <w:pStyle w:val="ConsPlusNormal"/>
        <w:keepNext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Перечень документов, необходимых для принятия решения о даче согласия на списание областного имущества</w:t>
      </w:r>
    </w:p>
    <w:p w:rsidR="00603150" w:rsidRDefault="00603150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Государственно</w:t>
      </w:r>
      <w:r>
        <w:rPr>
          <w:rFonts w:ascii="Times New Roman" w:hAnsi="Times New Roman"/>
          <w:sz w:val="28"/>
          <w:szCs w:val="28"/>
        </w:rPr>
        <w:t>е унитарное предприятие Новосибирской области, государственное учреждение Новосибирской области для принятия решения о даче согласия на списание недвижимого имущества, за исключением жилых помещений, представляют в департамент следующие документы: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 xml:space="preserve">перечень недвижимого имущества, подлежащего списанию, с указанием: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реестрового номера;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кадастрового номера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(местоположения);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недвижимого имущества (при наличии);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 недвижимого имущества (здание, сооружение, объект не</w:t>
      </w:r>
      <w:r>
        <w:rPr>
          <w:rFonts w:ascii="Times New Roman" w:hAnsi="Times New Roman"/>
          <w:sz w:val="28"/>
          <w:szCs w:val="28"/>
        </w:rPr>
        <w:t xml:space="preserve">завершенного строительства, нежилое помещение,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-место);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площади (кв. м), протяженности (м), глубины залегания, степень готовности (%) и (или) иных параметров, характеризующих физические свойства объекта недвижимого имущества;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з</w:t>
      </w:r>
      <w:r>
        <w:rPr>
          <w:rFonts w:ascii="Times New Roman" w:hAnsi="Times New Roman"/>
          <w:sz w:val="28"/>
          <w:szCs w:val="28"/>
        </w:rPr>
        <w:t xml:space="preserve">авершения строительства или год ввода в эксплуатацию (для зданий, </w:t>
      </w:r>
      <w:r>
        <w:rPr>
          <w:rFonts w:ascii="Times New Roman" w:hAnsi="Times New Roman"/>
          <w:sz w:val="28"/>
          <w:szCs w:val="28"/>
        </w:rPr>
        <w:lastRenderedPageBreak/>
        <w:t xml:space="preserve">сооружений) (при наличии); 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(балансовая, остаточная).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распорядительный акт государственного учреждения Новосибирской области о создании в соответствии с приказом Минфина России</w:t>
      </w:r>
      <w:r>
        <w:rPr>
          <w:rFonts w:ascii="Times New Roman" w:hAnsi="Times New Roman"/>
          <w:sz w:val="28"/>
          <w:szCs w:val="28"/>
        </w:rPr>
        <w:t xml:space="preserve">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</w:t>
      </w:r>
      <w:r>
        <w:rPr>
          <w:rFonts w:ascii="Times New Roman" w:hAnsi="Times New Roman"/>
          <w:sz w:val="28"/>
          <w:szCs w:val="28"/>
        </w:rPr>
        <w:t>ий наук, государственных (муниципальных) учреждений и Инструкции по его применению» комиссии, уполномоченной на принятие решений по выбытию (списанию) активов (далее – комиссия по списанию), с приложением положения о комиссии по списанию и ее состава (в сл</w:t>
      </w:r>
      <w:r>
        <w:rPr>
          <w:rFonts w:ascii="Times New Roman" w:hAnsi="Times New Roman"/>
          <w:sz w:val="28"/>
          <w:szCs w:val="28"/>
        </w:rPr>
        <w:t>учае списания недвижимого имущества государственного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протокол заседания комиссии по списанию о списании недвижимого имущества (в случае списания недвижимого имущества государственного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согласование списания недвижимого имущества исполнительного органа государственной власти Новосибирской области (за исключением списания недвижимого имущества, принадлежащего на праве оперативного управления подведомственным департаменту государственны</w:t>
      </w:r>
      <w:r>
        <w:rPr>
          <w:rFonts w:ascii="Times New Roman" w:hAnsi="Times New Roman"/>
          <w:sz w:val="28"/>
          <w:szCs w:val="28"/>
        </w:rPr>
        <w:t>м учреждениям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акт о техническом состоянии недвижимого имущества, соответствующий требованиям, указанным в пункте 22 настоящего Порядка;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заключение (справка) кадастрового инженера, содержащее информацию об отсутствии недвижимог</w:t>
      </w:r>
      <w:r>
        <w:rPr>
          <w:rFonts w:ascii="Times New Roman" w:hAnsi="Times New Roman"/>
          <w:sz w:val="28"/>
          <w:szCs w:val="28"/>
        </w:rPr>
        <w:t>о имущества на земельном участке по адресу его местонахождения (в случае невозможности установления местонахождения недвижимого имущества);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заключение исполнительного органа Новосибирской области, осуществляющего управленческие функции в соответствующей</w:t>
      </w:r>
      <w:r>
        <w:rPr>
          <w:rFonts w:ascii="Times New Roman" w:hAnsi="Times New Roman"/>
          <w:sz w:val="28"/>
          <w:szCs w:val="28"/>
        </w:rPr>
        <w:t xml:space="preserve"> отрасли, о нецелесообразности и (или) невозможности использования и (или) завершения строительства объекта незавершенного строительства (в случаи списания объекта незавершенного строительства).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 Государственное унитарное предприятие Новосибирской области, государственное учреждение Новосибирской области в целях принятия решения о даче согласия на списание жилых помещений представляют в исполнительный орган Новосибирской области следующие докумен</w:t>
      </w:r>
      <w:r>
        <w:rPr>
          <w:rFonts w:ascii="Times New Roman" w:hAnsi="Times New Roman"/>
          <w:sz w:val="28"/>
          <w:szCs w:val="28"/>
        </w:rPr>
        <w:t>ты: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перечень жилых помещений, подлежащих списанию, с указанием: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реестрового номера в Реестре имущества Новосибирской области (далее – реестровый номер);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кадастрового номера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(местоположения);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(жилой дом, квартира, комната);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ей и жилой площади (кв. м);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(балансовая, остаточная);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распорядительный акт государственного учреждения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о создании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комиссии по списанию, с приложением положения о данной комиссии и ее состава (в случае списания жилого поме</w:t>
      </w:r>
      <w:r>
        <w:rPr>
          <w:rFonts w:ascii="Times New Roman" w:hAnsi="Times New Roman"/>
          <w:sz w:val="28"/>
          <w:szCs w:val="28"/>
        </w:rPr>
        <w:t>щения государственного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протокол заседания комиссии по списанию о списании жилых помещений (в случае списания жилых помещений государственного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акт о техническом состоянии жилого пом</w:t>
      </w:r>
      <w:r>
        <w:rPr>
          <w:rFonts w:ascii="Times New Roman" w:hAnsi="Times New Roman"/>
          <w:sz w:val="28"/>
          <w:szCs w:val="28"/>
        </w:rPr>
        <w:t>ещения, соответствующий требованиям, указанным в пункте 22 настоящего Порядка;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заключение межведомственной комиссии по признанию помещения жилым помещением, пригодным (непригодным) для проживания граждан, а также многоквартирного дома аварийным и подлеж</w:t>
      </w:r>
      <w:r>
        <w:rPr>
          <w:rFonts w:ascii="Times New Roman" w:hAnsi="Times New Roman"/>
          <w:sz w:val="28"/>
          <w:szCs w:val="28"/>
        </w:rPr>
        <w:t>ащим сносу или реконструкции (в случае, если жилое помещение расположено в многоквартирном доме);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документ, подтверждающий отсутствие прав граждан на проживание в жилом помещении;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справка об отсутствии (или наличии с указанием размера) задолженности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оплате жилищно-коммунальных услуг, выданная в зависимости от способа управления многоквартирным домом управляющей компанией, товариществом собственников жилья, жилищным кооперативом или иным специализированным потребительским кооперативом, лицами, оказы</w:t>
      </w:r>
      <w:r>
        <w:rPr>
          <w:rFonts w:ascii="Times New Roman" w:hAnsi="Times New Roman"/>
          <w:sz w:val="28"/>
          <w:szCs w:val="28"/>
        </w:rPr>
        <w:t xml:space="preserve">вающими услуги по содержанию и (или) выполнению работ по ремонту общего имущества,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организациями, осуществляющими на основании договоров соответствующие виды деятельности.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Государственное казенное учреждение Новосибирской области «Фо</w:t>
      </w:r>
      <w:r>
        <w:rPr>
          <w:rFonts w:ascii="Times New Roman" w:hAnsi="Times New Roman"/>
          <w:sz w:val="28"/>
          <w:szCs w:val="28"/>
        </w:rPr>
        <w:t>нд имущества Новосибирской области», казенное предприятие Новосибирской области, а также государственное учреждение Новосибирской области (в случае отсутствия транспортного средства в натуре) (далее – организации) для принятия решения о даче согласия на сп</w:t>
      </w:r>
      <w:r>
        <w:rPr>
          <w:rFonts w:ascii="Times New Roman" w:hAnsi="Times New Roman"/>
          <w:sz w:val="28"/>
          <w:szCs w:val="28"/>
        </w:rPr>
        <w:t xml:space="preserve">исание транспортного средства представляет в департамент следующие документы: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перечень транспортных средств, подлежащих списанию, с указанием: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 и(или) модели;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регистрационного номера;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кузова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идентификационног</w:t>
      </w:r>
      <w:r>
        <w:rPr>
          <w:rFonts w:ascii="Times New Roman" w:hAnsi="Times New Roman"/>
          <w:sz w:val="28"/>
          <w:szCs w:val="28"/>
        </w:rPr>
        <w:t xml:space="preserve">о номера (VIN);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реестрового номера;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выпуска;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(балансовая, остаточная);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паспорт транспортного средства;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распорядительный акт государственного учреждения Новосибирской области о создании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комиссии по списанию, с приложением положения о д</w:t>
      </w:r>
      <w:r>
        <w:rPr>
          <w:rFonts w:ascii="Times New Roman" w:hAnsi="Times New Roman"/>
          <w:sz w:val="28"/>
          <w:szCs w:val="28"/>
        </w:rPr>
        <w:t>анной комиссии и ее состава (в случае списания транспортного средства государственного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протокол заседания комиссии по списанию о списании транспортного средства (в случае списания транспортного средства государственног</w:t>
      </w:r>
      <w:r>
        <w:rPr>
          <w:rFonts w:ascii="Times New Roman" w:hAnsi="Times New Roman"/>
          <w:sz w:val="28"/>
          <w:szCs w:val="28"/>
        </w:rPr>
        <w:t>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согласование списания транспортного средства исполнительного органа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власти Новосибирской области (за исключением списания транспортного средства, принадлежащего на праве оперативного управления подвед</w:t>
      </w:r>
      <w:r>
        <w:rPr>
          <w:rFonts w:ascii="Times New Roman" w:hAnsi="Times New Roman"/>
          <w:sz w:val="28"/>
          <w:szCs w:val="28"/>
        </w:rPr>
        <w:t>омственным департаменту государственным учреждениям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акт о техническом состоянии транспортного средства, соответствующий требованиям, указанным в пункте 22 настоящего Порядка.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В случае списания транспортного средства, выбывшег</w:t>
      </w:r>
      <w:r>
        <w:rPr>
          <w:rFonts w:ascii="Times New Roman" w:hAnsi="Times New Roman"/>
          <w:sz w:val="28"/>
          <w:szCs w:val="28"/>
        </w:rPr>
        <w:t>о из эксплуатации вследствие дорожно-транспортного происшествия, кроме документов, указанных в пункте 16 настоящего Порядка, дополнительно представляются следующие документы: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акт о дорожно-транспортном происшествии;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приказ о принятии мер в отношении </w:t>
      </w:r>
      <w:r>
        <w:rPr>
          <w:rFonts w:ascii="Times New Roman" w:hAnsi="Times New Roman"/>
          <w:sz w:val="28"/>
          <w:szCs w:val="28"/>
        </w:rPr>
        <w:t>виновных лиц, допустивших дорожно-транспортное происшествие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платежные документы о возмещении ущерба виновными лицами (при наличии).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Государственное автономное и бюджетное учреждение Новосибирской области для принятия решения о даче со</w:t>
      </w:r>
      <w:r>
        <w:rPr>
          <w:rFonts w:ascii="Times New Roman" w:hAnsi="Times New Roman"/>
          <w:sz w:val="28"/>
          <w:szCs w:val="28"/>
        </w:rPr>
        <w:t>гласия на списание иного движимого имущества, отнесенного к особо ценному, представляют в департамент следующие документы: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перечень движимого имущества, подлежащего списанию, с указанием: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реестрового номера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наименования, марки, модели, на</w:t>
      </w:r>
      <w:r>
        <w:rPr>
          <w:rFonts w:ascii="Times New Roman" w:hAnsi="Times New Roman"/>
          <w:sz w:val="28"/>
          <w:szCs w:val="28"/>
        </w:rPr>
        <w:t>значения движимого имущества;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ввода в эксплуатацию (года выпуска);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(балансовой и остаточной);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срока полезного использования, установленного для данного движимого имущества;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срока фактического использования на момент представления заявления в департамент;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распорядительный акт государственного учреждения Новосибирской области о создании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комиссии по списанию, с приложением положения о данной комиссии и ее состава;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протокола заседания комиссии по списанию о списании движимого имущества;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согласование списания движимого имущества исполнительного органа государственной власти Новосибирской области (за исключением списания движимого имущества, принадлежащего на пра</w:t>
      </w:r>
      <w:r>
        <w:rPr>
          <w:rFonts w:ascii="Times New Roman" w:hAnsi="Times New Roman"/>
          <w:sz w:val="28"/>
          <w:szCs w:val="28"/>
        </w:rPr>
        <w:t>ве оперативного управления подведомственным департаменту государственным учреждениям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акт о техническом состоянии движимого имущества, соответствующего требованиям, указанным в пункте 22 настоящего Порядка.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Казенное предприяти</w:t>
      </w:r>
      <w:r>
        <w:rPr>
          <w:rFonts w:ascii="Times New Roman" w:hAnsi="Times New Roman"/>
          <w:sz w:val="28"/>
          <w:szCs w:val="28"/>
        </w:rPr>
        <w:t xml:space="preserve">е Новосибирской области, государственное казенное учреждение Новосибирской области для принятия решения о даче согласия на списание иного движимого имущества представляют в департамент </w:t>
      </w:r>
      <w:r>
        <w:rPr>
          <w:rFonts w:ascii="Times New Roman" w:hAnsi="Times New Roman"/>
          <w:sz w:val="28"/>
          <w:szCs w:val="28"/>
        </w:rPr>
        <w:lastRenderedPageBreak/>
        <w:t>следующие документы: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перечень движимого имущества, подлежащего списа</w:t>
      </w:r>
      <w:r>
        <w:rPr>
          <w:rFonts w:ascii="Times New Roman" w:hAnsi="Times New Roman"/>
          <w:sz w:val="28"/>
          <w:szCs w:val="28"/>
        </w:rPr>
        <w:t>нию, с указанием: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реестрового номера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наименования, марки, модели, назначения движимого имущества;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ввода в эксплуатацию (года выпуска);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стоимости (балансовой и остаточной);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срока полезного использования, установленного для данного движим</w:t>
      </w:r>
      <w:r>
        <w:rPr>
          <w:rFonts w:ascii="Times New Roman" w:hAnsi="Times New Roman"/>
          <w:sz w:val="28"/>
          <w:szCs w:val="28"/>
        </w:rPr>
        <w:t>ого имущества;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срока фактического использования на момент представления заявления в департамент;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распорядительный акта государственного казенного учреждения Новосибирской области о создании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комиссии по списанию, с приложением положения о данной комиссии</w:t>
      </w:r>
      <w:r>
        <w:rPr>
          <w:rFonts w:ascii="Times New Roman" w:hAnsi="Times New Roman"/>
          <w:sz w:val="28"/>
          <w:szCs w:val="28"/>
        </w:rPr>
        <w:t xml:space="preserve"> и ее состава (в случае списания движимого имущества государственного казенного учреждения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протокол заседания комиссии по списанию о списании движимого имущества (в случае списания движимого имущества государственного казенного у</w:t>
      </w:r>
      <w:r>
        <w:rPr>
          <w:rFonts w:ascii="Times New Roman" w:hAnsi="Times New Roman"/>
          <w:sz w:val="28"/>
          <w:szCs w:val="28"/>
        </w:rPr>
        <w:t>чреждения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согласование списания движимого имущества исполнительного органа государственной власти Новосибирской области (за исключением списания движимого имущества, принадлежащего на праве оперативного управления подведомственны</w:t>
      </w:r>
      <w:r>
        <w:rPr>
          <w:rFonts w:ascii="Times New Roman" w:hAnsi="Times New Roman"/>
          <w:sz w:val="28"/>
          <w:szCs w:val="28"/>
        </w:rPr>
        <w:t>м департаменту государственным казенным учреждениям Новосибирской области);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акт о техническом состоянии движимого имущества,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соответствующего требованиям, указанным в пункте 22 настоящего Порядка, в случае списания движимого имущества, относящего к кате</w:t>
      </w:r>
      <w:r>
        <w:rPr>
          <w:rFonts w:ascii="Times New Roman" w:hAnsi="Times New Roman"/>
          <w:sz w:val="28"/>
          <w:szCs w:val="28"/>
        </w:rPr>
        <w:t>гории технически сложных товаров.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В случае списания имущества, указанного в пунктах 3 и 4 настоящего Порядка, в результате уничтожения, повреждения вследствие стихийных бедствий и иных чрезвычайных ситуаций, кроме документов, указанных в пунктах 14-16,</w:t>
      </w:r>
      <w:r>
        <w:rPr>
          <w:rFonts w:ascii="Times New Roman" w:hAnsi="Times New Roman"/>
          <w:sz w:val="28"/>
          <w:szCs w:val="28"/>
        </w:rPr>
        <w:t> 18, 19 настоящего Порядка, дополнительно представляются справки органа исполнительной власти субъекта Российской Федерации или органа местного самоуправления муниципального образования Новосибирской области, подтверждающие факт стихийного бедствия или ино</w:t>
      </w:r>
      <w:r>
        <w:rPr>
          <w:rFonts w:ascii="Times New Roman" w:hAnsi="Times New Roman"/>
          <w:sz w:val="28"/>
          <w:szCs w:val="28"/>
        </w:rPr>
        <w:t>й чрезвычайной ситуации, с перечнем имущества, пострадавшего от этих бедствий, ситуаций с краткой характеристикой ущерба.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В случае списания областного имущества, указанного в пунктах 3 и 4 настоящего Порядка, в результате хищения, уничтожения, поврежде</w:t>
      </w:r>
      <w:r>
        <w:rPr>
          <w:rFonts w:ascii="Times New Roman" w:hAnsi="Times New Roman"/>
          <w:sz w:val="28"/>
          <w:szCs w:val="28"/>
        </w:rPr>
        <w:t>ния, выбывшего из эксплуатации вследствие пожара, кроме документов, указанных в пунктах 14-16, 18, 19 настоящего Порядка, дополнительно представляются следующие документы: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документы государственной противопожарной службы, подтверждающие факт пожара и ук</w:t>
      </w:r>
      <w:r>
        <w:rPr>
          <w:rFonts w:ascii="Times New Roman" w:hAnsi="Times New Roman"/>
          <w:sz w:val="28"/>
          <w:szCs w:val="28"/>
        </w:rPr>
        <w:t>азывающих его причину;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постановления о возбуждении (об отказе в возбуждении либо прекращении) дела об административном правонарушении или уголовного дела, вынесенные уполномоченным должностным лицом уполномоченного органа; 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приказ о принятии мер в от</w:t>
      </w:r>
      <w:r>
        <w:rPr>
          <w:rFonts w:ascii="Times New Roman" w:hAnsi="Times New Roman"/>
          <w:sz w:val="28"/>
          <w:szCs w:val="28"/>
        </w:rPr>
        <w:t xml:space="preserve">ношении виновных лиц, допустивших </w:t>
      </w:r>
      <w:r>
        <w:rPr>
          <w:rFonts w:ascii="Times New Roman" w:hAnsi="Times New Roman"/>
          <w:sz w:val="28"/>
          <w:szCs w:val="28"/>
        </w:rPr>
        <w:lastRenderedPageBreak/>
        <w:t>уничтожение, повреждение жилых помещений, недвижимого имущества (при наличии);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документы о возмещении ущерба виновными лицами (при наличии).</w:t>
      </w:r>
    </w:p>
    <w:p w:rsidR="00603150" w:rsidRDefault="009E39A6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22. Акт о техническом состоянии имущества, указанный в пунктах 14-16, 18, 19 </w:t>
      </w:r>
      <w:r>
        <w:rPr>
          <w:rFonts w:ascii="Times New Roman" w:hAnsi="Times New Roman"/>
          <w:sz w:val="28"/>
          <w:szCs w:val="28"/>
        </w:rPr>
        <w:t>настоящего Порядка, должен быть составлен компетентной организацией, имеющей право осуществлять соответствующий вид деятельности, с приложением копии документа, подтверждающего право осуществлять соответствующий вид деятельности (лицензия, сертификат соотв</w:t>
      </w:r>
      <w:r>
        <w:rPr>
          <w:rFonts w:ascii="Times New Roman" w:hAnsi="Times New Roman"/>
          <w:sz w:val="28"/>
          <w:szCs w:val="28"/>
        </w:rPr>
        <w:t>етствия и т.п.) и содержать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наименование имущества, реестровый номер, инвентарный номер, балансовую и остаточную стоимость, описание технического состояния подлежащего списанию имущества с указанием наличия и характера неисправностей, дефектов, технических</w:t>
      </w:r>
      <w:r>
        <w:rPr>
          <w:rFonts w:ascii="Times New Roman" w:hAnsi="Times New Roman"/>
          <w:sz w:val="28"/>
          <w:szCs w:val="28"/>
        </w:rPr>
        <w:t xml:space="preserve"> повреждений; фотографии подлежащего списанию имущества (в отношении недвижимого имущества, транспортных средств); подтверждение отсутствия возможности и (или) целесообразности восстановления подлежащего списанию имущества, модернизации и дальнейшего его и</w:t>
      </w:r>
      <w:r>
        <w:rPr>
          <w:rFonts w:ascii="Times New Roman" w:hAnsi="Times New Roman"/>
          <w:sz w:val="28"/>
          <w:szCs w:val="28"/>
        </w:rPr>
        <w:t>спользования; рекомендации о списании имущества, а также о возможности использования его деталей, узлов и блоков для ремонта другого имущества.</w:t>
      </w:r>
    </w:p>
    <w:p w:rsidR="00603150" w:rsidRDefault="009E39A6">
      <w:pPr>
        <w:pStyle w:val="ConsPlusNormal"/>
        <w:keepNext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акта технического состояния на момент обращения в департамент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 заявлением о принятии решения о даче соглас</w:t>
      </w:r>
      <w:r>
        <w:rPr>
          <w:rFonts w:ascii="Times New Roman" w:hAnsi="Times New Roman"/>
          <w:sz w:val="28"/>
          <w:szCs w:val="28"/>
        </w:rPr>
        <w:t>ия на списание областного имущества не должна превышать 3 года с момента его выдачи.</w:t>
      </w:r>
    </w:p>
    <w:p w:rsidR="00603150" w:rsidRDefault="00603150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</w:p>
    <w:p w:rsidR="00603150" w:rsidRDefault="00603150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</w:p>
    <w:p w:rsidR="00603150" w:rsidRDefault="009E39A6">
      <w:pPr>
        <w:pStyle w:val="ConsPlusNormal"/>
        <w:keepNext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603150">
      <w:headerReference w:type="default" r:id="rId7"/>
      <w:pgSz w:w="11906" w:h="16838"/>
      <w:pgMar w:top="1134" w:right="567" w:bottom="1134" w:left="1418" w:header="510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A6" w:rsidRDefault="009E39A6">
      <w:pPr>
        <w:spacing w:after="0" w:line="240" w:lineRule="auto"/>
      </w:pPr>
      <w:r>
        <w:separator/>
      </w:r>
    </w:p>
  </w:endnote>
  <w:endnote w:type="continuationSeparator" w:id="0">
    <w:p w:rsidR="009E39A6" w:rsidRDefault="009E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A6" w:rsidRDefault="009E39A6">
      <w:pPr>
        <w:spacing w:after="0" w:line="240" w:lineRule="auto"/>
      </w:pPr>
      <w:r>
        <w:separator/>
      </w:r>
    </w:p>
  </w:footnote>
  <w:footnote w:type="continuationSeparator" w:id="0">
    <w:p w:rsidR="009E39A6" w:rsidRDefault="009E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50" w:rsidRDefault="009E39A6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0474D5">
      <w:rPr>
        <w:rFonts w:ascii="Times New Roman" w:hAnsi="Times New Roman"/>
        <w:noProof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fldChar w:fldCharType="end"/>
    </w:r>
  </w:p>
  <w:p w:rsidR="00603150" w:rsidRDefault="006031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50"/>
    <w:rsid w:val="000474D5"/>
    <w:rsid w:val="00603150"/>
    <w:rsid w:val="009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6CE6"/>
  <w15:docId w15:val="{C8C2E6A2-B04F-41A6-8645-677AB3B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1799-8D9A-474B-AD0F-9AEEA855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3240</Words>
  <Characters>18472</Characters>
  <Application>Microsoft Office Word</Application>
  <DocSecurity>0</DocSecurity>
  <Lines>153</Lines>
  <Paragraphs>43</Paragraphs>
  <ScaleCrop>false</ScaleCrop>
  <Company>АГНОиПНО</Company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</dc:creator>
  <cp:keywords/>
  <dc:description/>
  <cp:lastModifiedBy>Коврова Аксана Викторовна</cp:lastModifiedBy>
  <cp:revision>11</cp:revision>
  <dcterms:created xsi:type="dcterms:W3CDTF">2023-09-05T01:17:00Z</dcterms:created>
  <dcterms:modified xsi:type="dcterms:W3CDTF">2023-09-22T04:56:00Z</dcterms:modified>
  <cp:version>1048576</cp:version>
</cp:coreProperties>
</file>