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80" w:rsidRDefault="00820B11">
      <w:pPr>
        <w:spacing w:after="0" w:line="240" w:lineRule="auto"/>
        <w:ind w:left="0" w:firstLine="0"/>
        <w:jc w:val="center"/>
        <w:rPr>
          <w:color w:val="000000" w:themeColor="text1"/>
          <w:sz w:val="27"/>
          <w:szCs w:val="27"/>
        </w:rPr>
      </w:pPr>
      <w:bookmarkStart w:id="0" w:name="_GoBack"/>
      <w:bookmarkEnd w:id="0"/>
      <w:r>
        <w:rPr>
          <w:noProof/>
          <w:color w:val="000000" w:themeColor="text1"/>
          <w:lang w:val="ru-RU" w:eastAsia="ru-RU" w:bidi="ar-SA"/>
        </w:rPr>
        <w:drawing>
          <wp:inline distT="0" distB="0" distL="0" distR="0">
            <wp:extent cx="552450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280" w:rsidRDefault="00820B11">
      <w:pPr>
        <w:spacing w:after="0" w:line="240" w:lineRule="auto"/>
        <w:ind w:left="0" w:firstLine="0"/>
        <w:jc w:val="center"/>
        <w:rPr>
          <w:b/>
          <w:color w:val="000000" w:themeColor="text1"/>
          <w:sz w:val="27"/>
          <w:szCs w:val="27"/>
          <w:lang w:val="ru-RU"/>
        </w:rPr>
      </w:pPr>
      <w:r>
        <w:rPr>
          <w:b/>
          <w:color w:val="000000" w:themeColor="text1"/>
          <w:sz w:val="27"/>
          <w:szCs w:val="27"/>
          <w:lang w:val="ru-RU"/>
        </w:rPr>
        <w:t>МИНИСТЕРСТВО СТРОИТЕЛЬСТВА</w:t>
      </w:r>
    </w:p>
    <w:p w:rsidR="002E0280" w:rsidRDefault="00820B11">
      <w:pPr>
        <w:spacing w:after="0" w:line="240" w:lineRule="auto"/>
        <w:ind w:left="0" w:firstLine="0"/>
        <w:jc w:val="center"/>
        <w:rPr>
          <w:color w:val="000000" w:themeColor="text1"/>
          <w:sz w:val="27"/>
          <w:szCs w:val="27"/>
          <w:lang w:val="ru-RU"/>
        </w:rPr>
      </w:pPr>
      <w:r>
        <w:rPr>
          <w:b/>
          <w:color w:val="000000" w:themeColor="text1"/>
          <w:sz w:val="27"/>
          <w:szCs w:val="27"/>
          <w:lang w:val="ru-RU"/>
        </w:rPr>
        <w:t>НОВОСИБИРСКОЙ ОБЛАСТИ</w:t>
      </w:r>
    </w:p>
    <w:p w:rsidR="002E0280" w:rsidRDefault="002E0280">
      <w:pPr>
        <w:spacing w:after="0" w:line="240" w:lineRule="auto"/>
        <w:ind w:left="0" w:firstLine="0"/>
        <w:rPr>
          <w:color w:val="000000" w:themeColor="text1"/>
          <w:szCs w:val="28"/>
          <w:lang w:val="ru-RU"/>
        </w:rPr>
      </w:pPr>
    </w:p>
    <w:p w:rsidR="002E0280" w:rsidRDefault="002E0280">
      <w:pPr>
        <w:spacing w:after="0" w:line="240" w:lineRule="auto"/>
        <w:ind w:left="0" w:firstLine="0"/>
        <w:jc w:val="center"/>
        <w:rPr>
          <w:b/>
          <w:color w:val="000000" w:themeColor="text1"/>
          <w:szCs w:val="28"/>
          <w:lang w:val="ru-RU"/>
        </w:rPr>
      </w:pPr>
    </w:p>
    <w:p w:rsidR="002E0280" w:rsidRDefault="002E0280">
      <w:pPr>
        <w:spacing w:after="0" w:line="240" w:lineRule="auto"/>
        <w:ind w:left="0" w:firstLine="0"/>
        <w:jc w:val="center"/>
        <w:rPr>
          <w:b/>
          <w:color w:val="000000" w:themeColor="text1"/>
          <w:szCs w:val="28"/>
          <w:lang w:val="ru-RU"/>
        </w:rPr>
      </w:pPr>
    </w:p>
    <w:p w:rsidR="002E0280" w:rsidRDefault="00820B11">
      <w:pPr>
        <w:spacing w:after="0" w:line="240" w:lineRule="auto"/>
        <w:ind w:left="0" w:firstLine="0"/>
        <w:jc w:val="center"/>
        <w:rPr>
          <w:b/>
          <w:color w:val="000000" w:themeColor="text1"/>
          <w:szCs w:val="28"/>
          <w:lang w:val="ru-RU"/>
        </w:rPr>
      </w:pPr>
      <w:r>
        <w:rPr>
          <w:b/>
          <w:color w:val="000000" w:themeColor="text1"/>
          <w:szCs w:val="28"/>
          <w:lang w:val="ru-RU"/>
        </w:rPr>
        <w:t>Пояснительная записка</w:t>
      </w:r>
    </w:p>
    <w:p w:rsidR="002E0280" w:rsidRDefault="00820B11">
      <w:pPr>
        <w:pStyle w:val="ConsPlusNormal0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проекту постановления Правительства Новосибирской области</w:t>
      </w:r>
    </w:p>
    <w:p w:rsidR="002E0280" w:rsidRDefault="00820B11">
      <w:pPr>
        <w:pStyle w:val="ConsPlusNormal0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постановление Правительства</w:t>
      </w:r>
    </w:p>
    <w:p w:rsidR="002E0280" w:rsidRDefault="00820B11">
      <w:pPr>
        <w:pStyle w:val="ConsPlusNormal0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 от 20.02.2015 № 68-п»</w:t>
      </w:r>
    </w:p>
    <w:p w:rsidR="002E0280" w:rsidRDefault="002E0280">
      <w:pPr>
        <w:pStyle w:val="ConsPlusNormal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0280" w:rsidRDefault="002E0280">
      <w:pPr>
        <w:pStyle w:val="ConsPlusNormal0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0280" w:rsidRDefault="00820B11">
      <w:pPr>
        <w:spacing w:after="0" w:line="240" w:lineRule="auto"/>
        <w:ind w:left="0" w:firstLine="709"/>
        <w:rPr>
          <w:rFonts w:cs="Times New Roman"/>
          <w:color w:val="000000" w:themeColor="text1"/>
          <w:szCs w:val="28"/>
          <w:lang w:val="ru-RU"/>
        </w:rPr>
      </w:pPr>
      <w:r>
        <w:rPr>
          <w:rFonts w:cs="Times New Roman"/>
          <w:color w:val="000000" w:themeColor="text1"/>
          <w:szCs w:val="24"/>
          <w:lang w:val="ru-RU"/>
        </w:rPr>
        <w:t>Проект постановления Правительства Новосибирской области «О внесении изменений в постановление Правительства Новосибирской области от</w:t>
      </w:r>
      <w:r>
        <w:rPr>
          <w:rFonts w:cs="Times New Roman"/>
          <w:color w:val="000000" w:themeColor="text1"/>
          <w:szCs w:val="24"/>
        </w:rPr>
        <w:t> </w:t>
      </w:r>
      <w:r>
        <w:rPr>
          <w:rFonts w:cs="Times New Roman"/>
          <w:color w:val="000000" w:themeColor="text1"/>
          <w:szCs w:val="24"/>
          <w:lang w:val="ru-RU"/>
        </w:rPr>
        <w:t>20.02.2015 №</w:t>
      </w:r>
      <w:r>
        <w:rPr>
          <w:rFonts w:cs="Times New Roman"/>
          <w:color w:val="000000" w:themeColor="text1"/>
          <w:szCs w:val="24"/>
        </w:rPr>
        <w:t> </w:t>
      </w:r>
      <w:r>
        <w:rPr>
          <w:rFonts w:cs="Times New Roman"/>
          <w:color w:val="000000" w:themeColor="text1"/>
          <w:szCs w:val="24"/>
          <w:lang w:val="ru-RU"/>
        </w:rPr>
        <w:t>68-п «</w:t>
      </w:r>
      <w:r>
        <w:rPr>
          <w:rFonts w:cs="Times New Roman"/>
          <w:color w:val="000000" w:themeColor="text1"/>
          <w:szCs w:val="28"/>
          <w:lang w:val="ru-RU" w:eastAsia="ru-RU"/>
        </w:rPr>
        <w:t>Об утверждении государственной программы Новосибирской области «Стимулирование развития жилищного строи</w:t>
      </w:r>
      <w:r>
        <w:rPr>
          <w:rFonts w:cs="Times New Roman"/>
          <w:color w:val="000000" w:themeColor="text1"/>
          <w:szCs w:val="28"/>
          <w:lang w:val="ru-RU" w:eastAsia="ru-RU"/>
        </w:rPr>
        <w:t xml:space="preserve">тельства в Новосибирской области» (далее – Проект постановления) подготовлен в соответствии </w:t>
      </w:r>
      <w:r>
        <w:rPr>
          <w:rFonts w:cs="Times New Roman"/>
          <w:color w:val="000000" w:themeColor="text1"/>
          <w:szCs w:val="28"/>
          <w:lang w:val="ru-RU"/>
        </w:rPr>
        <w:t>с постановлением Правительства Новосибирской области от</w:t>
      </w:r>
      <w:r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000000" w:themeColor="text1"/>
          <w:szCs w:val="28"/>
          <w:lang w:val="ru-RU"/>
        </w:rPr>
        <w:t>28.03.2014 №</w:t>
      </w:r>
      <w:r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000000" w:themeColor="text1"/>
          <w:szCs w:val="28"/>
          <w:lang w:val="ru-RU"/>
        </w:rPr>
        <w:t>125-п «О Порядке принятия решений о разработке государственных программ Новосибирской области, а также формирования и реализации указанных программ».</w:t>
      </w:r>
    </w:p>
    <w:p w:rsidR="002E0280" w:rsidRDefault="00820B11">
      <w:pPr>
        <w:spacing w:after="0" w:line="240" w:lineRule="auto"/>
        <w:ind w:left="0" w:firstLine="709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szCs w:val="28"/>
          <w:lang w:val="ru-RU" w:eastAsia="ru-RU"/>
        </w:rPr>
        <w:t xml:space="preserve">В </w:t>
      </w:r>
      <w:r>
        <w:rPr>
          <w:rFonts w:cs="Times New Roman"/>
          <w:b/>
          <w:bCs/>
          <w:color w:val="000000" w:themeColor="text1"/>
          <w:szCs w:val="28"/>
          <w:lang w:val="ru-RU" w:eastAsia="ru-RU"/>
        </w:rPr>
        <w:t>приложение № 4 к постановлению Правительства Новосибирской области</w:t>
      </w:r>
      <w:r>
        <w:rPr>
          <w:rFonts w:cs="Times New Roman"/>
          <w:color w:val="000000" w:themeColor="text1"/>
          <w:szCs w:val="28"/>
          <w:lang w:val="ru-RU" w:eastAsia="ru-RU"/>
        </w:rPr>
        <w:t xml:space="preserve"> от 20.02.2015 № 68-п вносятся следующ</w:t>
      </w:r>
      <w:r>
        <w:rPr>
          <w:rFonts w:cs="Times New Roman"/>
          <w:color w:val="000000" w:themeColor="text1"/>
          <w:szCs w:val="28"/>
          <w:lang w:val="ru-RU" w:eastAsia="ru-RU"/>
        </w:rPr>
        <w:t>ие изменения:</w:t>
      </w:r>
    </w:p>
    <w:p w:rsidR="002E0280" w:rsidRDefault="00820B11">
      <w:pPr>
        <w:spacing w:after="0" w:line="240" w:lineRule="auto"/>
        <w:ind w:left="0" w:firstLine="709"/>
        <w:rPr>
          <w:rFonts w:cs="Times New Roman"/>
          <w:color w:val="000000" w:themeColor="text1"/>
          <w:lang w:val="ru-RU" w:eastAsia="ru-RU"/>
        </w:rPr>
      </w:pPr>
      <w:r>
        <w:rPr>
          <w:rFonts w:cs="Times New Roman"/>
          <w:color w:val="000000" w:themeColor="text1"/>
          <w:lang w:val="ru-RU" w:eastAsia="ru-RU"/>
        </w:rPr>
        <w:t xml:space="preserve">- абзац первый пункта 10 – внесение изменений в сроки </w:t>
      </w:r>
      <w:r>
        <w:rPr>
          <w:rFonts w:cs="Times New Roman"/>
          <w:i/>
          <w:iCs/>
          <w:color w:val="000000" w:themeColor="text1"/>
          <w:lang w:val="ru-RU" w:eastAsia="ru-RU"/>
        </w:rPr>
        <w:t>(увеличение сроков предоставления документов юридическим лицом)</w:t>
      </w:r>
      <w:r>
        <w:rPr>
          <w:rFonts w:cs="Times New Roman"/>
          <w:color w:val="000000" w:themeColor="text1"/>
          <w:lang w:val="ru-RU" w:eastAsia="ru-RU"/>
        </w:rPr>
        <w:t>, в рамках которых получатель субсидии направляет документы в министерство строительства Новосибирской области (далее – минис</w:t>
      </w:r>
      <w:r>
        <w:rPr>
          <w:rFonts w:cs="Times New Roman"/>
          <w:color w:val="000000" w:themeColor="text1"/>
          <w:lang w:val="ru-RU" w:eastAsia="ru-RU"/>
        </w:rPr>
        <w:t xml:space="preserve">терство) для получения субсидии. </w:t>
      </w:r>
    </w:p>
    <w:p w:rsidR="002E0280" w:rsidRDefault="00820B11">
      <w:pPr>
        <w:spacing w:after="0" w:line="240" w:lineRule="auto"/>
        <w:ind w:left="0" w:firstLine="709"/>
        <w:rPr>
          <w:rFonts w:cs="Times New Roman"/>
          <w:color w:val="auto"/>
          <w:sz w:val="26"/>
          <w:szCs w:val="26"/>
          <w:lang w:val="ru-RU"/>
        </w:rPr>
      </w:pPr>
      <w:r>
        <w:rPr>
          <w:rFonts w:cs="Times New Roman"/>
          <w:color w:val="000000" w:themeColor="text1"/>
          <w:lang w:val="ru-RU" w:eastAsia="ru-RU"/>
        </w:rPr>
        <w:t>- изменение данного срока в пользу получателей субсидии влечет для министерства сокращение сроков рассмотрения представленных документов, проверки получателя субсидии и принятия соответствующего решения о предоставлении су</w:t>
      </w:r>
      <w:r>
        <w:rPr>
          <w:rFonts w:cs="Times New Roman"/>
          <w:color w:val="000000" w:themeColor="text1"/>
          <w:lang w:val="ru-RU" w:eastAsia="ru-RU"/>
        </w:rPr>
        <w:t xml:space="preserve">бсидии либо об отказе в предоставлении субсидии (абзац первый пункта 12 </w:t>
      </w:r>
      <w:r>
        <w:rPr>
          <w:rFonts w:cs="Times New Roman"/>
          <w:color w:val="000000" w:themeColor="text1"/>
          <w:szCs w:val="28"/>
          <w:lang w:val="ru-RU" w:eastAsia="ru-RU"/>
        </w:rPr>
        <w:t>приложения № 4 к постановлению Правительства Новосибирской области от 20.02.2015 № 68-п)</w:t>
      </w:r>
      <w:r>
        <w:rPr>
          <w:rFonts w:cs="Times New Roman"/>
          <w:color w:val="000000" w:themeColor="text1"/>
          <w:lang w:val="ru-RU" w:eastAsia="ru-RU"/>
        </w:rPr>
        <w:t>.</w:t>
      </w:r>
    </w:p>
    <w:p w:rsidR="002E0280" w:rsidRDefault="00820B11">
      <w:pPr>
        <w:spacing w:after="0" w:line="240" w:lineRule="auto"/>
        <w:ind w:left="0" w:firstLine="709"/>
        <w:rPr>
          <w:rFonts w:cs="Times New Roman"/>
          <w:color w:val="auto"/>
          <w:lang w:val="ru-RU" w:eastAsia="ru-RU"/>
        </w:rPr>
      </w:pPr>
      <w:r>
        <w:rPr>
          <w:rFonts w:cs="Times New Roman"/>
          <w:color w:val="000000" w:themeColor="text1"/>
          <w:lang w:val="ru-RU" w:eastAsia="ru-RU"/>
        </w:rPr>
        <w:t>- </w:t>
      </w:r>
      <w:r>
        <w:rPr>
          <w:rFonts w:cs="Times New Roman"/>
          <w:color w:val="auto"/>
          <w:lang w:val="ru-RU" w:eastAsia="ru-RU"/>
        </w:rPr>
        <w:t>внесение изменений в абзац шестой пункта 21 обусловлено устранением технической ошибки. В пр</w:t>
      </w:r>
      <w:r>
        <w:rPr>
          <w:rFonts w:cs="Times New Roman"/>
          <w:color w:val="auto"/>
          <w:lang w:val="ru-RU" w:eastAsia="ru-RU"/>
        </w:rPr>
        <w:t xml:space="preserve">едыдущем Проекте </w:t>
      </w:r>
      <w:r>
        <w:rPr>
          <w:rFonts w:cs="Times New Roman"/>
          <w:i/>
          <w:iCs/>
          <w:color w:val="auto"/>
          <w:lang w:val="ru-RU" w:eastAsia="ru-RU"/>
        </w:rPr>
        <w:t>(Карточка ОРД - 55774)</w:t>
      </w:r>
      <w:r>
        <w:rPr>
          <w:rFonts w:cs="Times New Roman"/>
          <w:color w:val="auto"/>
          <w:lang w:val="ru-RU" w:eastAsia="ru-RU"/>
        </w:rPr>
        <w:t xml:space="preserve">, была добавлена форма отчета, однако ссылка в вышеуказанном абзаце не была учтена. В связи с вышеизложенным, министерство устраняет техническую ошибку. Проект </w:t>
      </w:r>
      <w:r>
        <w:rPr>
          <w:rFonts w:cs="Times New Roman"/>
          <w:i/>
          <w:iCs/>
          <w:color w:val="auto"/>
          <w:lang w:val="ru-RU" w:eastAsia="ru-RU"/>
        </w:rPr>
        <w:t>(Карточка ОРД - 55774)</w:t>
      </w:r>
      <w:r>
        <w:rPr>
          <w:rFonts w:cs="Times New Roman"/>
          <w:color w:val="auto"/>
          <w:lang w:val="ru-RU" w:eastAsia="ru-RU"/>
        </w:rPr>
        <w:t xml:space="preserve"> прилагается. </w:t>
      </w:r>
    </w:p>
    <w:p w:rsidR="002E0280" w:rsidRDefault="00820B11">
      <w:pPr>
        <w:spacing w:after="0" w:line="240" w:lineRule="auto"/>
        <w:ind w:left="0" w:firstLine="709"/>
        <w:rPr>
          <w:rFonts w:cs="Times New Roman"/>
          <w:color w:val="000000" w:themeColor="text1"/>
          <w:lang w:val="ru-RU" w:eastAsia="ru-RU"/>
        </w:rPr>
      </w:pPr>
      <w:r>
        <w:rPr>
          <w:rFonts w:cs="Times New Roman"/>
          <w:color w:val="000000" w:themeColor="text1"/>
          <w:lang w:val="ru-RU" w:eastAsia="ru-RU"/>
        </w:rPr>
        <w:t>В основу изменений з</w:t>
      </w:r>
      <w:r>
        <w:rPr>
          <w:rFonts w:cs="Times New Roman"/>
          <w:color w:val="000000" w:themeColor="text1"/>
          <w:lang w:val="ru-RU" w:eastAsia="ru-RU"/>
        </w:rPr>
        <w:t>аложен клиентоцентричный подход, основанный на улучшении качества взаимодействия с юридическими лицами путем сокращения сроков рассмотрения документов.</w:t>
      </w:r>
    </w:p>
    <w:p w:rsidR="002E0280" w:rsidRDefault="00820B11">
      <w:pPr>
        <w:spacing w:after="0" w:line="240" w:lineRule="auto"/>
        <w:ind w:left="0" w:firstLine="709"/>
        <w:rPr>
          <w:color w:val="000000" w:themeColor="text1"/>
          <w:lang w:val="ru-RU"/>
        </w:rPr>
      </w:pPr>
      <w:r>
        <w:rPr>
          <w:color w:val="000000" w:themeColor="text1"/>
          <w:szCs w:val="28"/>
          <w:lang w:val="ru-RU"/>
        </w:rPr>
        <w:t>Правовые акты, подлежащие признанию утратившими силу в случае принятия проекта, отсутствуют.</w:t>
      </w:r>
    </w:p>
    <w:p w:rsidR="002E0280" w:rsidRDefault="00820B11">
      <w:pPr>
        <w:spacing w:after="0" w:line="240" w:lineRule="auto"/>
        <w:ind w:left="0" w:firstLine="709"/>
        <w:rPr>
          <w:color w:val="000000" w:themeColor="text1"/>
          <w:szCs w:val="28"/>
          <w:lang w:val="ru-RU"/>
        </w:rPr>
      </w:pPr>
      <w:r>
        <w:rPr>
          <w:color w:val="000000" w:themeColor="text1"/>
          <w:szCs w:val="28"/>
          <w:lang w:val="ru-RU"/>
        </w:rPr>
        <w:lastRenderedPageBreak/>
        <w:t>Проект не подлежит оценке регулирующего воздействия, так как не предусматривает введение или изменение прав и обязанностей субъектов малого и среднего предпринимательства.</w:t>
      </w:r>
    </w:p>
    <w:p w:rsidR="002E0280" w:rsidRPr="00F57B37" w:rsidRDefault="00820B11">
      <w:pPr>
        <w:shd w:val="clear" w:color="auto" w:fill="FFFFFF"/>
        <w:spacing w:after="0" w:line="240" w:lineRule="auto"/>
        <w:ind w:left="0" w:firstLine="709"/>
        <w:rPr>
          <w:color w:val="000000" w:themeColor="text1"/>
          <w:highlight w:val="white"/>
          <w:lang w:val="ru-RU"/>
        </w:rPr>
      </w:pPr>
      <w:r>
        <w:rPr>
          <w:color w:val="000000" w:themeColor="text1"/>
          <w:szCs w:val="28"/>
          <w:highlight w:val="white"/>
          <w:lang w:val="ru-RU"/>
        </w:rPr>
        <w:t>Проект размещен на сайте «Электронная демократия НСО» для проведения антикоррупционн</w:t>
      </w:r>
      <w:r>
        <w:rPr>
          <w:color w:val="000000" w:themeColor="text1"/>
          <w:szCs w:val="28"/>
          <w:highlight w:val="white"/>
          <w:lang w:val="ru-RU"/>
        </w:rPr>
        <w:t>ой экспертизы с</w:t>
      </w:r>
      <w:r>
        <w:rPr>
          <w:color w:val="000000" w:themeColor="text1"/>
          <w:szCs w:val="28"/>
          <w:highlight w:val="white"/>
        </w:rPr>
        <w:t> </w:t>
      </w:r>
      <w:r>
        <w:rPr>
          <w:color w:val="000000" w:themeColor="text1"/>
          <w:szCs w:val="28"/>
          <w:highlight w:val="white"/>
          <w:lang w:val="ru-RU"/>
        </w:rPr>
        <w:t>23.11.2023 по 29.11.2023.</w:t>
      </w:r>
    </w:p>
    <w:p w:rsidR="002E0280" w:rsidRDefault="002E0280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2E0280" w:rsidRDefault="002E0280">
      <w:pPr>
        <w:spacing w:after="0" w:line="240" w:lineRule="auto"/>
        <w:ind w:left="0" w:firstLine="709"/>
        <w:rPr>
          <w:color w:val="000000" w:themeColor="text1"/>
          <w:lang w:val="ru-RU"/>
        </w:rPr>
      </w:pPr>
    </w:p>
    <w:p w:rsidR="002E0280" w:rsidRDefault="002E0280">
      <w:pPr>
        <w:spacing w:after="0" w:line="240" w:lineRule="auto"/>
        <w:ind w:left="0" w:firstLine="709"/>
        <w:rPr>
          <w:color w:val="000000" w:themeColor="text1"/>
          <w:lang w:val="ru-RU"/>
        </w:rPr>
      </w:pPr>
    </w:p>
    <w:p w:rsidR="002E0280" w:rsidRDefault="002E0280">
      <w:pPr>
        <w:spacing w:after="0" w:line="240" w:lineRule="auto"/>
        <w:ind w:left="0" w:firstLine="709"/>
        <w:rPr>
          <w:color w:val="000000" w:themeColor="text1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60"/>
        <w:gridCol w:w="4960"/>
      </w:tblGrid>
      <w:tr w:rsidR="002E0280">
        <w:tc>
          <w:tcPr>
            <w:tcW w:w="4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E0280" w:rsidRDefault="00820B11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>Министр</w:t>
            </w:r>
          </w:p>
        </w:tc>
        <w:tc>
          <w:tcPr>
            <w:tcW w:w="4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E0280" w:rsidRDefault="00820B11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  </w:t>
            </w:r>
            <w:r>
              <w:rPr>
                <w:color w:val="000000" w:themeColor="text1"/>
                <w:szCs w:val="28"/>
              </w:rPr>
              <w:t>А.В. Колмаков</w:t>
            </w:r>
          </w:p>
        </w:tc>
      </w:tr>
    </w:tbl>
    <w:p w:rsidR="002E0280" w:rsidRDefault="002E0280">
      <w:pPr>
        <w:spacing w:after="0" w:line="240" w:lineRule="auto"/>
        <w:ind w:left="0" w:firstLine="709"/>
        <w:rPr>
          <w:color w:val="000000" w:themeColor="text1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2E0280">
      <w:pPr>
        <w:spacing w:after="0" w:line="240" w:lineRule="auto"/>
        <w:ind w:left="0" w:right="57" w:firstLine="0"/>
        <w:rPr>
          <w:color w:val="000000" w:themeColor="text1"/>
          <w:sz w:val="18"/>
          <w:szCs w:val="18"/>
        </w:rPr>
      </w:pPr>
    </w:p>
    <w:p w:rsidR="002E0280" w:rsidRDefault="00820B11">
      <w:pPr>
        <w:spacing w:after="0" w:line="240" w:lineRule="auto"/>
        <w:ind w:left="0" w:right="57"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lang w:val="ru-RU"/>
        </w:rPr>
        <w:t xml:space="preserve">К.С Михайлова </w:t>
      </w:r>
    </w:p>
    <w:p w:rsidR="002E0280" w:rsidRDefault="00820B11">
      <w:pPr>
        <w:spacing w:after="0" w:line="240" w:lineRule="auto"/>
        <w:ind w:left="0" w:right="57"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lang w:val="ru-RU"/>
        </w:rPr>
        <w:t>228-64-66</w:t>
      </w:r>
    </w:p>
    <w:sectPr w:rsidR="002E0280">
      <w:pgSz w:w="11906" w:h="16838"/>
      <w:pgMar w:top="1134" w:right="567" w:bottom="1134" w:left="1418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B11" w:rsidRDefault="00820B11">
      <w:pPr>
        <w:spacing w:after="0" w:line="240" w:lineRule="auto"/>
      </w:pPr>
      <w:r>
        <w:separator/>
      </w:r>
    </w:p>
  </w:endnote>
  <w:endnote w:type="continuationSeparator" w:id="0">
    <w:p w:rsidR="00820B11" w:rsidRDefault="0082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B11" w:rsidRDefault="00820B11">
      <w:pPr>
        <w:spacing w:after="0" w:line="240" w:lineRule="auto"/>
      </w:pPr>
      <w:r>
        <w:separator/>
      </w:r>
    </w:p>
  </w:footnote>
  <w:footnote w:type="continuationSeparator" w:id="0">
    <w:p w:rsidR="00820B11" w:rsidRDefault="00820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5659"/>
    <w:multiLevelType w:val="hybridMultilevel"/>
    <w:tmpl w:val="9B569A48"/>
    <w:lvl w:ilvl="0" w:tplc="59A6AC9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ED001C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F928D7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41C64A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60836B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C54A8F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5B03ED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AA4193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D9A903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7197E23"/>
    <w:multiLevelType w:val="hybridMultilevel"/>
    <w:tmpl w:val="B79EBF6E"/>
    <w:lvl w:ilvl="0" w:tplc="812005B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B868CD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D5C807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BDCF18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6CEC0E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1C672B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0B8645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0CEBFC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3D6254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0D43CED"/>
    <w:multiLevelType w:val="hybridMultilevel"/>
    <w:tmpl w:val="3EFE0452"/>
    <w:lvl w:ilvl="0" w:tplc="1D663DF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122600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4F2F58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098DC0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FA8F85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156773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C3698D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0848A6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C3A824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300105E"/>
    <w:multiLevelType w:val="hybridMultilevel"/>
    <w:tmpl w:val="28B06EBA"/>
    <w:lvl w:ilvl="0" w:tplc="5DBA39C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88A93E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F4C03C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C9E926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A4892A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D2EE38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312155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5B06D8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AEC8CB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75C5C1B"/>
    <w:multiLevelType w:val="hybridMultilevel"/>
    <w:tmpl w:val="9A785E4E"/>
    <w:lvl w:ilvl="0" w:tplc="3DF2E2DC">
      <w:start w:val="1"/>
      <w:numFmt w:val="decimal"/>
      <w:lvlText w:val="%1."/>
      <w:lvlJc w:val="left"/>
      <w:pPr>
        <w:ind w:left="1418" w:hanging="360"/>
      </w:pPr>
    </w:lvl>
    <w:lvl w:ilvl="1" w:tplc="8E8CFC16">
      <w:start w:val="1"/>
      <w:numFmt w:val="lowerLetter"/>
      <w:lvlText w:val="%2."/>
      <w:lvlJc w:val="left"/>
      <w:pPr>
        <w:ind w:left="2138" w:hanging="360"/>
      </w:pPr>
    </w:lvl>
    <w:lvl w:ilvl="2" w:tplc="A642D522">
      <w:start w:val="1"/>
      <w:numFmt w:val="lowerRoman"/>
      <w:lvlText w:val="%3."/>
      <w:lvlJc w:val="right"/>
      <w:pPr>
        <w:ind w:left="2858" w:hanging="180"/>
      </w:pPr>
    </w:lvl>
    <w:lvl w:ilvl="3" w:tplc="283CCD52">
      <w:start w:val="1"/>
      <w:numFmt w:val="decimal"/>
      <w:lvlText w:val="%4."/>
      <w:lvlJc w:val="left"/>
      <w:pPr>
        <w:ind w:left="3578" w:hanging="360"/>
      </w:pPr>
    </w:lvl>
    <w:lvl w:ilvl="4" w:tplc="68C27A32">
      <w:start w:val="1"/>
      <w:numFmt w:val="lowerLetter"/>
      <w:lvlText w:val="%5."/>
      <w:lvlJc w:val="left"/>
      <w:pPr>
        <w:ind w:left="4298" w:hanging="360"/>
      </w:pPr>
    </w:lvl>
    <w:lvl w:ilvl="5" w:tplc="33246520">
      <w:start w:val="1"/>
      <w:numFmt w:val="lowerRoman"/>
      <w:lvlText w:val="%6."/>
      <w:lvlJc w:val="right"/>
      <w:pPr>
        <w:ind w:left="5018" w:hanging="180"/>
      </w:pPr>
    </w:lvl>
    <w:lvl w:ilvl="6" w:tplc="E1E230F4">
      <w:start w:val="1"/>
      <w:numFmt w:val="decimal"/>
      <w:lvlText w:val="%7."/>
      <w:lvlJc w:val="left"/>
      <w:pPr>
        <w:ind w:left="5738" w:hanging="360"/>
      </w:pPr>
    </w:lvl>
    <w:lvl w:ilvl="7" w:tplc="6E7292F0">
      <w:start w:val="1"/>
      <w:numFmt w:val="lowerLetter"/>
      <w:lvlText w:val="%8."/>
      <w:lvlJc w:val="left"/>
      <w:pPr>
        <w:ind w:left="6458" w:hanging="360"/>
      </w:pPr>
    </w:lvl>
    <w:lvl w:ilvl="8" w:tplc="A55678BE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67085E20"/>
    <w:multiLevelType w:val="hybridMultilevel"/>
    <w:tmpl w:val="92F43CAC"/>
    <w:lvl w:ilvl="0" w:tplc="F424961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880488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1F6B3B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860051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5D2733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AAE7F3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290DDF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37E069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530739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80"/>
    <w:rsid w:val="002E0280"/>
    <w:rsid w:val="00820B11"/>
    <w:rsid w:val="00F5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4DF76-8D2A-46A5-B848-0EB70DC9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47" w:lineRule="auto"/>
      <w:ind w:left="753" w:firstLine="687"/>
      <w:jc w:val="both"/>
    </w:pPr>
    <w:rPr>
      <w:color w:val="000000"/>
      <w:sz w:val="28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ConsPlusNormal">
    <w:name w:val="ConsPlusNormal Знак"/>
    <w:link w:val="ConsPlusNormal"/>
    <w:qFormat/>
    <w:rPr>
      <w:rFonts w:ascii="Arial" w:hAnsi="Arial" w:cs="Arial"/>
      <w:lang w:val="ru-RU" w:eastAsia="ru-RU" w:bidi="ar-SA"/>
    </w:rPr>
  </w:style>
  <w:style w:type="character" w:customStyle="1" w:styleId="af5">
    <w:name w:val="Текст выноски Знак"/>
    <w:uiPriority w:val="99"/>
    <w:semiHidden/>
    <w:qFormat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af6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f7">
    <w:name w:val="Текст примечания Знак"/>
    <w:uiPriority w:val="99"/>
    <w:semiHidden/>
    <w:qFormat/>
    <w:rPr>
      <w:rFonts w:ascii="Times New Roman" w:hAnsi="Times New Roman"/>
      <w:color w:val="000000"/>
      <w:lang w:val="en-US" w:eastAsia="en-US"/>
    </w:rPr>
  </w:style>
  <w:style w:type="character" w:customStyle="1" w:styleId="af8">
    <w:name w:val="Тема примечания Знак"/>
    <w:uiPriority w:val="99"/>
    <w:semiHidden/>
    <w:qFormat/>
    <w:rPr>
      <w:rFonts w:ascii="Times New Roman" w:hAnsi="Times New Roman"/>
      <w:b/>
      <w:bCs/>
      <w:color w:val="000000"/>
      <w:lang w:val="en-US" w:eastAsia="en-US"/>
    </w:rPr>
  </w:style>
  <w:style w:type="character" w:customStyle="1" w:styleId="af9">
    <w:name w:val="Верхний колонтитул Знак"/>
    <w:uiPriority w:val="99"/>
    <w:qFormat/>
    <w:rPr>
      <w:rFonts w:ascii="Times New Roman" w:eastAsia="Calibri" w:hAnsi="Times New Roman"/>
      <w:sz w:val="28"/>
      <w:szCs w:val="28"/>
    </w:rPr>
  </w:style>
  <w:style w:type="character" w:customStyle="1" w:styleId="afa">
    <w:name w:val="Нижний колонтитул Знак"/>
    <w:uiPriority w:val="99"/>
    <w:qFormat/>
    <w:rPr>
      <w:rFonts w:ascii="Times New Roman" w:hAnsi="Times New Roman"/>
      <w:color w:val="000000"/>
      <w:sz w:val="28"/>
      <w:szCs w:val="22"/>
      <w:lang w:val="en-US" w:eastAsia="en-US"/>
    </w:rPr>
  </w:style>
  <w:style w:type="character" w:customStyle="1" w:styleId="apple-converted-space">
    <w:name w:val="apple-converted-space"/>
    <w:qFormat/>
  </w:style>
  <w:style w:type="character" w:customStyle="1" w:styleId="nobr">
    <w:name w:val="nobr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25">
    <w:name w:val="Основной текст 2 Знак"/>
    <w:link w:val="25"/>
    <w:uiPriority w:val="99"/>
    <w:semiHidden/>
    <w:qFormat/>
    <w:rPr>
      <w:rFonts w:ascii="Times New Roman" w:eastAsia="Calibri" w:hAnsi="Times New Roman"/>
      <w:sz w:val="28"/>
      <w:szCs w:val="28"/>
    </w:rPr>
  </w:style>
  <w:style w:type="character" w:customStyle="1" w:styleId="afb">
    <w:name w:val="Схема документа Знак"/>
    <w:uiPriority w:val="99"/>
    <w:semiHidden/>
    <w:qFormat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afc">
    <w:name w:val="Strong"/>
    <w:uiPriority w:val="22"/>
    <w:qFormat/>
    <w:rPr>
      <w:b/>
      <w:bCs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paragraph" w:styleId="a5">
    <w:name w:val="Title"/>
    <w:basedOn w:val="a"/>
    <w:next w:val="afd"/>
    <w:link w:val="a4"/>
    <w:qFormat/>
    <w:pPr>
      <w:keepNext/>
      <w:spacing w:before="240" w:after="120"/>
    </w:pPr>
    <w:rPr>
      <w:rFonts w:ascii="Arial" w:eastAsia="Microsoft YaHei" w:hAnsi="Arial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</w:style>
  <w:style w:type="paragraph" w:customStyle="1" w:styleId="15">
    <w:name w:val="Заголовок1"/>
    <w:basedOn w:val="a"/>
    <w:next w:val="afd"/>
    <w:qFormat/>
    <w:pPr>
      <w:keepNext/>
      <w:spacing w:before="240" w:after="120"/>
    </w:pPr>
    <w:rPr>
      <w:rFonts w:ascii="Arial" w:eastAsia="Microsoft YaHei" w:hAnsi="Arial"/>
      <w:szCs w:val="28"/>
    </w:rPr>
  </w:style>
  <w:style w:type="paragraph" w:customStyle="1" w:styleId="ConsPlusNormal0">
    <w:name w:val="ConsPlusNormal"/>
    <w:qFormat/>
    <w:pPr>
      <w:ind w:firstLine="720"/>
    </w:pPr>
    <w:rPr>
      <w:rFonts w:ascii="Arial" w:hAnsi="Arial" w:cs="Arial"/>
      <w:sz w:val="24"/>
      <w:lang w:eastAsia="ru-RU"/>
    </w:rPr>
  </w:style>
  <w:style w:type="paragraph" w:styleId="aff1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  <w:sz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cs="Calibri"/>
      <w:b/>
      <w:sz w:val="22"/>
      <w:lang w:eastAsia="ru-RU"/>
    </w:rPr>
  </w:style>
  <w:style w:type="paragraph" w:styleId="aff2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3">
    <w:name w:val="annotation subject"/>
    <w:basedOn w:val="aff2"/>
    <w:next w:val="aff2"/>
    <w:uiPriority w:val="99"/>
    <w:semiHidden/>
    <w:unhideWhenUsed/>
    <w:qFormat/>
    <w:rPr>
      <w:b/>
      <w:bCs/>
    </w:rPr>
  </w:style>
  <w:style w:type="paragraph" w:styleId="aa">
    <w:name w:val="header"/>
    <w:basedOn w:val="a"/>
    <w:link w:val="11"/>
    <w:uiPriority w:val="99"/>
    <w:unhideWhenUsed/>
    <w:pPr>
      <w:spacing w:after="0" w:line="240" w:lineRule="auto"/>
      <w:ind w:left="0" w:firstLine="0"/>
      <w:jc w:val="left"/>
    </w:pPr>
    <w:rPr>
      <w:rFonts w:eastAsia="Calibri"/>
      <w:color w:val="auto"/>
      <w:szCs w:val="28"/>
    </w:r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customStyle="1" w:styleId="16">
    <w:name w:val="Обычный1"/>
    <w:qFormat/>
    <w:rPr>
      <w:sz w:val="24"/>
      <w:lang w:eastAsia="ru-RU"/>
    </w:rPr>
  </w:style>
  <w:style w:type="paragraph" w:styleId="26">
    <w:name w:val="Body Text 2"/>
    <w:basedOn w:val="a"/>
    <w:uiPriority w:val="99"/>
    <w:semiHidden/>
    <w:unhideWhenUsed/>
    <w:qFormat/>
    <w:pPr>
      <w:spacing w:after="0" w:line="240" w:lineRule="auto"/>
      <w:ind w:left="0" w:right="-142" w:firstLine="0"/>
    </w:pPr>
    <w:rPr>
      <w:rFonts w:eastAsia="Calibri"/>
      <w:color w:val="auto"/>
      <w:szCs w:val="28"/>
    </w:rPr>
  </w:style>
  <w:style w:type="paragraph" w:styleId="aff4">
    <w:name w:val="Document Map"/>
    <w:basedOn w:val="a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customStyle="1" w:styleId="aff6">
    <w:name w:val="Содержимое таблицы"/>
    <w:basedOn w:val="a"/>
    <w:qFormat/>
    <w:pPr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paragraph" w:styleId="aff8">
    <w:name w:val="Normal (Web)"/>
    <w:basedOn w:val="a"/>
    <w:qFormat/>
    <w:pPr>
      <w:spacing w:before="280" w:after="28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8"/>
      <w:szCs w:val="20"/>
      <w:lang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Tahoma" w:eastAsia="Times New Roman" w:hAnsi="Tahoma" w:cs="Tahoma"/>
      <w:sz w:val="26"/>
      <w:szCs w:val="20"/>
      <w:lang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Calibri" w:eastAsia="Times New Roman" w:hAnsi="Calibri" w:cs="Calibri"/>
      <w:sz w:val="28"/>
      <w:szCs w:val="20"/>
      <w:lang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8"/>
      <w:szCs w:val="20"/>
      <w:lang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8"/>
      <w:szCs w:val="20"/>
      <w:lang w:eastAsia="ru-RU" w:bidi="ar-SA"/>
    </w:rPr>
  </w:style>
  <w:style w:type="character" w:styleId="aff9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40B6BA-8FAB-45D4-937A-618D6DBF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dc:description/>
  <cp:lastModifiedBy>Ибрагимов Голибджон Гуфронович ADM</cp:lastModifiedBy>
  <cp:revision>2</cp:revision>
  <dcterms:created xsi:type="dcterms:W3CDTF">2023-11-23T02:40:00Z</dcterms:created>
  <dcterms:modified xsi:type="dcterms:W3CDTF">2023-11-23T02:40:00Z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Organization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