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1"/>
        <w:ind w:firstLine="709"/>
        <w:rPr>
          <w:szCs w:val="28"/>
        </w:rPr>
      </w:pPr>
      <w:r>
        <w:rPr>
          <w:szCs w:val="28"/>
        </w:rPr>
        <w:t xml:space="preserve">Проект постановления</w:t>
      </w:r>
      <w:r/>
    </w:p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</w:t>
      </w:r>
      <w:r/>
    </w:p>
    <w:p>
      <w:pPr>
        <w:pStyle w:val="8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ства Новосибирской области от 24.02.2022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58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/>
    </w:p>
    <w:p>
      <w:pPr>
        <w:pStyle w:val="845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постановляет:</w:t>
      </w:r>
      <w:r/>
    </w:p>
    <w:p>
      <w:pPr>
        <w:pStyle w:val="84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24.02.2022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58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4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3 дополнить подпунктом 12 следующего содержания:</w:t>
      </w:r>
      <w:r/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</w:t>
      </w:r>
      <w:r>
        <w:rPr>
          <w:rFonts w:ascii="Times New Roman" w:hAnsi="Times New Roman" w:cs="Times New Roman"/>
          <w:sz w:val="28"/>
          <w:szCs w:val="28"/>
        </w:rPr>
        <w:t xml:space="preserve">облюдения требований, предусмотренных подпунктом «а» пункта 11 Правил пользования газом в ча</w:t>
      </w:r>
      <w:r>
        <w:rPr>
          <w:rFonts w:ascii="Times New Roman" w:hAnsi="Times New Roman" w:cs="Times New Roman"/>
          <w:sz w:val="28"/>
          <w:szCs w:val="28"/>
        </w:rPr>
        <w:t xml:space="preserve">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</w:t>
      </w:r>
      <w:r>
        <w:rPr>
          <w:rFonts w:ascii="Times New Roman" w:hAnsi="Times New Roman" w:cs="Times New Roman"/>
          <w:sz w:val="28"/>
          <w:szCs w:val="28"/>
        </w:rPr>
        <w:t xml:space="preserve"> «О мерах по обеспечению безопасности при использовании и содержании </w:t>
      </w:r>
      <w:r>
        <w:rPr>
          <w:rFonts w:ascii="Times New Roman" w:hAnsi="Times New Roman" w:cs="Times New Roman"/>
          <w:sz w:val="28"/>
          <w:szCs w:val="28"/>
        </w:rPr>
        <w:t xml:space="preserve">внутридомового и внутриквартирного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Пункт 31 изложить в следующей редакции: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«Инспекция по итогам рассмотрения возражения в отношении предостережения о недопустимости нарушения </w:t>
      </w:r>
      <w:r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направляет ответ контролируемому лицу в течение 20 рабочих дней со дня получения такого возражения».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Подпункт 2 пункта 57 изложить в следующей редакции: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«Основанием для включения в ежегодный план проведения контрольных (надзорных) мероприятий на очередной календарный год является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стечение срока, указанного в пункте 56 настоящего Положения, начиная с даты окончания проведения последнего планового контрольного (надзорного) мероприятия, а если такие контрольные (надзорные) мероприятия ранее не проводились, - то с даты: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впервые внесенной в отношении данного контролируемого лица </w:t>
      </w:r>
      <w:r>
        <w:rPr>
          <w:rFonts w:ascii="Times New Roman" w:hAnsi="Times New Roman" w:cs="Times New Roman"/>
          <w:sz w:val="28"/>
          <w:szCs w:val="28"/>
        </w:rPr>
        <w:t xml:space="preserve">записи </w:t>
      </w:r>
      <w:r>
        <w:rPr>
          <w:rFonts w:ascii="Times New Roman" w:hAnsi="Times New Roman" w:cs="Times New Roman"/>
          <w:sz w:val="28"/>
          <w:szCs w:val="28"/>
        </w:rPr>
        <w:t xml:space="preserve">в реестр лицензий о начале периода управления  многоквартирным домом (домами), определяемой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выпиской из реестра лицензий.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Подпункт 2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 41 дополнить подпунктом 3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 может быть проведен в отношении объектов контроля, деятельность которых отнесена к категориям среднего, умеренного и низкого риска, в случае если контролируемое лицо не отказалось от его проведения в срок, не превышающий 3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до предполагаемой даты его проведения».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5. Пункт 42 исключить.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6. В пункте 43 слова «предложение о проведении профилактического визита» заменить словами «приказ и уведомление о проведении профилактического визита».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7. В пункте 44 слова «В предложении  о проведении профилактического визита» заменить словами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«В уведомлении о проведении профилактического визита»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8. Дополнить пунктом 54.1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«Основанием для проведения профилактического визита по инициативе контролируемого  лица является поступление заявления контролируемого лица по форме, утвержденной настоящим постановлением.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Инспекция рассматривает заявление контролируемого лица в течение 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рабочих дней с даты его регистрации и принимает решение о проведении профилактического визита либо об отказе в его проведении с учетом материальных, финансовых и кадровых ресурсов, категории риска объекта контроля, о чем уведомляет контролируемое лицо.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об отказе в проведении профилактического визита  по  заявлению контролируемого лица принимается инспекцией при наличии одного из следующих оснований: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от контролируемого лица поступило уведомление об отзыве заявления о проведении профилактического визита;</w:t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лируемого лица, повлекшими невозможность проведения профилактического визита;</w:t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Результаты рассмотрения поступившего заявления отражаются в решении о проведении (об отказе в проведении) профилактического визита по форме, утвержденной настоящим постановлением. 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принятия решения  о проведении профилактического  визита инспекция в течение 20 рабочих дней согласовывает дату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проведения профилактического визита.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результатам согласования даты профилактического визита контролируемому лицу направляются приказ и уведомление о проведении профилактического визита по формам, установленным настоящим постановлением.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Принятое по поступившему заявлению решение, приказ и уведомление о проведении профилактического визита направляется контролируемому лицу посредством канала связи, использованно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 контролируемым лицом при направлении заявления, а также через личный кабинет контролируемого лица в государственной информационной  информационной системе жилищно-коммунального хозяйства, если иной способ (способы) отправки не указан в самом заявлении.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Контролируемое лицо вправе отказаться от проведения профилактического визита, направив  не позднее чем за 3 рабочих дня до даты его проведения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уведомление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невозможности проведения профилактического визита в назначенные дату и время контролируемое лицо и инспекция извещают друг друга любы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 доступными каналами связи, параллельно обеспечивают согласование новых даты, времени, формата проведения профилактического визита. Факт непроведения профилактического визита и его причины подлежат отражению в акте о проведении профилактического визита.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Взаимодействие инспекции с контролируемым лицом в рамках проведения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профилактического визита осуществляется с использованием любых доступных  каналов связи.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По результатам проведения профилактического визита должностным лицом, уполномоченным на его проведение, составляется акт по форме, установленной настоящим постановлением.»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9. Утвердить форму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заявления на проведение профилактического  визита.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 Утвердить форму решения о проведении (об отказе в проведении) профилактического визита.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11. Утвердить форму уведомления контролируемого лица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приказа о проведении профилактического визита.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 форму уведомления об отказе от проведения профилактического визита.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 форму акта по результатам проведения профилактического визита.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равников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spacing w:after="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А.И. Полищук , </w:t>
      </w:r>
      <w:r>
        <w:rPr>
          <w:rFonts w:ascii="Times New Roman" w:hAnsi="Times New Roman" w:cs="Times New Roman"/>
          <w:sz w:val="20"/>
          <w:szCs w:val="20"/>
        </w:rPr>
        <w:t xml:space="preserve">2270357</w:t>
      </w:r>
      <w:r/>
    </w:p>
    <w:p>
      <w:pPr>
        <w:spacing w:after="0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42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ind w:right="2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СОГЛАСОВАНО:</w:t>
      </w:r>
      <w:bookmarkStart w:id="2" w:name="_GoBack"/>
      <w:r/>
      <w:bookmarkEnd w:id="2"/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2"/>
      </w:tblGrid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26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уководител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Е.Б. Долгова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Первый заместитель Председателя Правительства Новосибирской области </w:t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В.М. Знатков 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инистр юстиции Новосибирской области</w:t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.Н. Деркач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Министр экономического развития Новосибирской области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Л.Н. Решетников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Заместитель Губернатора Новосибирской области</w:t>
            </w:r>
            <w:r/>
          </w:p>
        </w:tc>
      </w:tr>
      <w:tr>
        <w:trPr>
          <w:gridAfter w:val="1"/>
        </w:trPr>
        <w:tc>
          <w:tcPr>
            <w:tcW w:w="5070" w:type="dxa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С.Н. Сёмка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51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Начальник государственной жилищной инспекции Новосибирской области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>
          <w:gridAfter w:val="1"/>
          <w:trHeight w:val="772"/>
        </w:trPr>
        <w:tc>
          <w:tcPr>
            <w:tcW w:w="5070" w:type="dxa"/>
            <w:textDirection w:val="lrTb"/>
            <w:noWrap w:val="false"/>
          </w:tcPr>
          <w:p>
            <w:pPr>
              <w:ind w:right="-102" w:firstLine="709"/>
              <w:jc w:val="righ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А.И. Полищук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ата</w:t>
            </w:r>
            <w:r/>
          </w:p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0"/>
              <w:jc w:val="lef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Заместитель начальника государственной жилищной инспекции Новосибирской области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     Н.И. Чернышова</w:t>
            </w:r>
            <w:r/>
          </w:p>
          <w:p>
            <w:pPr>
              <w:ind w:firstLine="0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2"/>
      </w:tblGrid>
      <w:tr>
        <w:trPr/>
        <w:tc>
          <w:tcPr>
            <w:gridSpan w:val="2"/>
            <w:tcW w:w="51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Заместитель начальника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отдела нормативно- правового обеспечения и судебной работы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государственной жилищной инспекции Новосибирской области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>
          <w:gridAfter w:val="1"/>
          <w:trHeight w:val="772"/>
        </w:trPr>
        <w:tc>
          <w:tcPr>
            <w:tcW w:w="5070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             Т.М. Слуцкая</w:t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дата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284" w:right="567" w:bottom="0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9150080"/>
      <w:docPartObj>
        <w:docPartGallery w:val="Page Numbers (Top of Page)"/>
        <w:docPartUnique w:val="true"/>
      </w:docPartObj>
      <w:rPr/>
    </w:sdtPr>
    <w:sdtContent>
      <w:p>
        <w:pPr>
          <w:pStyle w:val="85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8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2"/>
    <w:link w:val="841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0"/>
    <w:next w:val="840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2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0"/>
    <w:next w:val="840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2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0"/>
    <w:next w:val="840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2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0"/>
    <w:next w:val="840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2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0"/>
    <w:next w:val="84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2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2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2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0"/>
    <w:next w:val="84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2"/>
    <w:link w:val="684"/>
    <w:uiPriority w:val="10"/>
    <w:rPr>
      <w:sz w:val="48"/>
      <w:szCs w:val="48"/>
    </w:rPr>
  </w:style>
  <w:style w:type="paragraph" w:styleId="686">
    <w:name w:val="Subtitle"/>
    <w:basedOn w:val="840"/>
    <w:next w:val="84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2"/>
    <w:link w:val="686"/>
    <w:uiPriority w:val="11"/>
    <w:rPr>
      <w:sz w:val="24"/>
      <w:szCs w:val="24"/>
    </w:rPr>
  </w:style>
  <w:style w:type="paragraph" w:styleId="688">
    <w:name w:val="Quote"/>
    <w:basedOn w:val="840"/>
    <w:next w:val="840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0"/>
    <w:next w:val="840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42"/>
    <w:link w:val="850"/>
    <w:uiPriority w:val="99"/>
  </w:style>
  <w:style w:type="character" w:styleId="693">
    <w:name w:val="Footer Char"/>
    <w:basedOn w:val="842"/>
    <w:link w:val="85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52"/>
    <w:uiPriority w:val="99"/>
  </w:style>
  <w:style w:type="table" w:styleId="696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2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2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paragraph" w:styleId="841">
    <w:name w:val="Heading 1"/>
    <w:basedOn w:val="840"/>
    <w:next w:val="840"/>
    <w:link w:val="848"/>
    <w:qFormat/>
    <w:pPr>
      <w:jc w:val="right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48" w:customStyle="1">
    <w:name w:val="Заголовок 1 Знак"/>
    <w:basedOn w:val="842"/>
    <w:link w:val="84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9">
    <w:name w:val="List Paragraph"/>
    <w:basedOn w:val="840"/>
    <w:uiPriority w:val="34"/>
    <w:qFormat/>
    <w:pPr>
      <w:contextualSpacing/>
      <w:ind w:left="720"/>
    </w:pPr>
  </w:style>
  <w:style w:type="paragraph" w:styleId="850">
    <w:name w:val="Header"/>
    <w:basedOn w:val="840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2"/>
    <w:link w:val="850"/>
    <w:uiPriority w:val="99"/>
  </w:style>
  <w:style w:type="paragraph" w:styleId="852">
    <w:name w:val="Footer"/>
    <w:basedOn w:val="840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2"/>
    <w:link w:val="852"/>
    <w:uiPriority w:val="99"/>
  </w:style>
  <w:style w:type="paragraph" w:styleId="854">
    <w:name w:val="Balloon Text"/>
    <w:basedOn w:val="840"/>
    <w:link w:val="8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42"/>
    <w:link w:val="85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revision>14</cp:revision>
  <dcterms:created xsi:type="dcterms:W3CDTF">2023-06-06T08:50:00Z</dcterms:created>
  <dcterms:modified xsi:type="dcterms:W3CDTF">2023-09-05T04:40:20Z</dcterms:modified>
</cp:coreProperties>
</file>