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797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постановления 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6663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01.08.2017 № 296-п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в </w:t>
      </w:r>
      <w:hyperlink r:id="rId12" w:tooltip="consultantplus://offline/ref=3563429628022DCE612ECDC179EE96E27E296DAF5E3F9730AD282A1DEC637284C8D40453BE7FDD39C7B75787C160F87DB3E3FCF" w:history="1">
        <w:r>
          <w:rPr>
            <w:rStyle w:val="868"/>
            <w:rFonts w:ascii="Times New Roman" w:hAnsi="Times New Roman"/>
            <w:color w:val="000000"/>
            <w:sz w:val="28"/>
            <w:szCs w:val="28"/>
            <w:highlight w:val="white"/>
            <w:u w:val="none"/>
            <w:lang w:eastAsia="ru-RU"/>
          </w:rPr>
          <w:t xml:space="preserve">постановление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Правительства Новосибирской области от 01.08.2017 № 296-п «Об утверждении Положения о министерстве труда и социального развития Новосибирской области»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Положении о министерстве труда и социального развития Новосибирской области: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пункте 8: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«г» подпункта 35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127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«127)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специальной социальной выплаты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отдельным категориям медицинских работников медицинских организаций, входящих в государственную систему здравоохранения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) подпункт</w:t>
      </w:r>
      <w:r>
        <w:rPr>
          <w:rFonts w:ascii="Times New Roman" w:hAnsi="Times New Roman"/>
          <w:sz w:val="28"/>
          <w:szCs w:val="28"/>
          <w:highlight w:val="white"/>
        </w:rPr>
        <w:t xml:space="preserve"> 128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</w:t>
      </w:r>
      <w:r>
        <w:rPr>
          <w:rFonts w:ascii="Times New Roman" w:hAnsi="Times New Roman"/>
          <w:sz w:val="28"/>
          <w:szCs w:val="28"/>
          <w:highlight w:val="white"/>
        </w:rPr>
        <w:t xml:space="preserve">сле слов «патрульно-постовой службы полиции» дополнить словами «, сотрудников специализированных подразделений по охране общественного порядка (в перевозочном и технологическом секторах объектов транспортной инфраструктуры) управления на транспорте Министе</w:t>
      </w:r>
      <w:r>
        <w:rPr>
          <w:rFonts w:ascii="Times New Roman" w:hAnsi="Times New Roman"/>
          <w:sz w:val="28"/>
          <w:szCs w:val="28"/>
          <w:highlight w:val="white"/>
        </w:rPr>
        <w:t xml:space="preserve">рства внутренних дел Российской Федерации по Сибирскому федеральному округу»;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подпункте 129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«военнослужащим органов федеральной службы безопасности, непосредственно выполняющим задачи по охране государственной границы Российской Федер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ации на участках, примыкающих к 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районам проведения специальной военной операции на террито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риях Украины, Донецкой Народной Республики, Луганской Народной Республики, Запорожской области, Херсонской области,»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«а также военнослужащим органов федеральной службы безопасности, непосредственно выполняющим задачи по охране государствен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ной границы Российской Федерации на участках, примыкающих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с 30 сентября 2022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задачи по обеспечению безопасности Российской Федерации на участках, примыкающих к районам проведения специальной военной операции,»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 В пункте 10: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1) 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 94 признать утратившим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подпункт 103 после слов «по предоставлению» дополнить словами «отдельным категориям граждан»;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подпункт 104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признать утратившим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силу;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подпункт 117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«117)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оказанию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единовременной 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териальной помощи 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Федерации, лиц, проходивших службу в войсках национальной гвардии Российской Федерации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и имевших специальные звания полиции, сотрудников органов внутренних дел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погибших (умерших, признанных в 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установленном порядке безвестно отсутствующими или объявленных умершими) в результате участия в специальной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военной операции, проводимой на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территориях Украины, Донецкой Народной Республики, Луганской Народной Республики,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Запорожской области, Херсонской области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специальная военная опе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рация),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задачи по обеспечению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 (далее – погибшие (умершие) военнослужащи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е), являвшихся гражданами Российской Федерации и на дату гибели (смерти) постоянно проживавших на территории Новосибирской области, либо зарегистрированных на территории Новосибирской области и проходивших службу в воинских частях, территориальных органах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Росгвардии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расположенных на территории Новосибирской области, органах федеральной службы безопасности, либо если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погребение (кремация с последующим захоронением урны с прахом)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погребение) погибшего (умершего) военнослужащего произведены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 в подпункте 118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«военнослужащим органов федеральной службы безопасности, непосредственно выполняющим задачи по охране государственной границы Российской Федерации на участках, примыкающих к районам проведе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специальной военной операции,»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«а также военнослужащим органов федеральной службы безопасности, непосредственно выполняющим задачи по охране государственной границы Российской Федерации на участках, примыкающих к районам проведения спе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циальной военной операции, с 30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сентября 2022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задачи по обеспечению безопасности Российской Федерации на участках, примыкающих к районам проведения специальной военной операции,»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6) 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 121 признать утратившим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 дополнить подпунктами 122-125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«122)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 предоставлению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 </w:t>
      </w:r>
      <w:r>
        <w:rPr>
          <w:rFonts w:ascii="Times New Roman" w:hAnsi="Times New Roman"/>
          <w:sz w:val="28"/>
          <w:szCs w:val="28"/>
          <w:highlight w:val="white"/>
        </w:rPr>
        <w:t xml:space="preserve">по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124) </w:t>
      </w:r>
      <w:r>
        <w:rPr>
          <w:rFonts w:ascii="Times New Roman" w:hAnsi="Times New Roman"/>
          <w:sz w:val="28"/>
          <w:szCs w:val="28"/>
          <w:highlight w:val="white"/>
        </w:rPr>
        <w:t xml:space="preserve">по предоставлению единовременных денежных выплат при поступлении ребенка из многодетной семьи в первый класс общеобразовательной организации, расположенной на территории Новосибирской области, и ребенка из многодетной семьи (в том числе совершенноле</w:t>
      </w:r>
      <w:r>
        <w:rPr>
          <w:rFonts w:ascii="Times New Roman" w:hAnsi="Times New Roman"/>
          <w:sz w:val="28"/>
          <w:szCs w:val="28"/>
          <w:highlight w:val="white"/>
        </w:rPr>
        <w:t xml:space="preserve">тнего, но не старше 23 лет) при поступлении в образовательную организацию высшего образования для обучения по образовательной программе высшего образования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125) по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предоставлению ежегодной выплаты на приобретение школьно-письменных принадлежностей на каждого ребенка школьного возраста из малоимущей многодетной семьи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 В пункте 11: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подпункт 7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7) по выдаче письменного разрешения на заключение трудового договора с лицом, не достигшим возраста 14 лет, в соответствии с трудовым законодательством;»;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дополнить подпунктом 12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</w:t>
      </w:r>
      <w:r>
        <w:rPr>
          <w:rFonts w:ascii="Times New Roman" w:hAnsi="Times New Roman"/>
          <w:sz w:val="28"/>
          <w:szCs w:val="28"/>
          <w:highlight w:val="white"/>
        </w:rPr>
        <w:t xml:space="preserve">2) по выдаче письменного согласия на осуществление трудоустройства ребенка-сироты и ребенка, оставшегося без попечения родителей, получивших общее образование и достигших возраста 14 лет, для выполнения легкого труда, не причиняющего вреда их здоровью, либ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 ребенка-сироты и ребенка, оставшегося без попечения родителей, получающих общее образование и достигших возраста 14 лет, для выполнения в свободное от получения образования время легкого труда, не причиняющего вреда их здоровью, и без ущерба для освоения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образовательной программы.».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. 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Дополнить пунктом 11.2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«11.2. Министерство осуществляет контроль за осуществлением органами местного самоуправления отдельных государственных полномочий Но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осибирской области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предоставлению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единовременной денежной выплаты на обеспечение условий доступности для инвалида жилого поме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щения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.».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left="-5" w:hanging="10"/>
        <w:spacing w:after="55" w:line="261" w:lineRule="auto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Первый заместитель Губернатора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Ю.Ф. Петухов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юстиции Новосибирской области                                               Т.Н. Деркач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Заместитель Губернатора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                             С.А. Нелюбов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труда и социального развития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pPr w:horzAnchor="margin" w:tblpXSpec="left" w:vertAnchor="text" w:tblpY="-127" w:leftFromText="180" w:topFromText="0" w:rightFromText="180" w:bottomFromText="200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В.А. Дудникова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Начальник правового  управления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министерства труда и социального развития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Новосибирской области                                                                                                                                    Е.В. Нарубина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000000"/>
          <w:sz w:val="20"/>
          <w:highlight w:val="white"/>
        </w:rPr>
      </w:pP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4882"/>
      </w:tblGrid>
      <w:tr>
        <w:trPr>
          <w:trHeight w:val="6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Начальник управления организации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социальных выплат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Т.А. Мальцева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  <w:t xml:space="preserve">чальник управления занятости населения</w:t>
      </w:r>
      <w:r>
        <w:rPr>
          <w:rFonts w:ascii="Times New Roman" w:hAnsi="Times New Roman" w:eastAsia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  <w:t xml:space="preserve">                                                                                                   О.И. Лаврова</w:t>
      </w:r>
      <w:r>
        <w:rPr>
          <w:rFonts w:ascii="Times New Roman" w:hAnsi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ffffff" w:themeColor="background1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М.М. Иванникова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238 75 02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5" w:hanging="10"/>
      <w:spacing w:after="55" w:line="261" w:lineRule="auto"/>
      <w:rPr>
        <w:rFonts w:ascii="Times New Roman" w:hAnsi="Times New Roman" w:eastAsia="Times New Roman"/>
        <w:sz w:val="20"/>
      </w:rPr>
    </w:pP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6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9">
    <w:name w:val="Heading 1"/>
    <w:basedOn w:val="688"/>
    <w:next w:val="688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Header Char"/>
    <w:basedOn w:val="698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Заголовок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link w:val="736"/>
    <w:uiPriority w:val="99"/>
  </w:style>
  <w:style w:type="paragraph" w:styleId="738">
    <w:name w:val="Footer"/>
    <w:basedOn w:val="688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>
    <w:name w:val="Table Grid"/>
    <w:basedOn w:val="699"/>
    <w:uiPriority w:val="59"/>
    <w:tblPr/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  <w:pPr>
      <w:spacing w:after="0"/>
    </w:pPr>
  </w:style>
  <w:style w:type="paragraph" w:styleId="88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7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88">
    <w:name w:val="Body Text"/>
    <w:basedOn w:val="688"/>
    <w:link w:val="889"/>
    <w:unhideWhenUsed/>
    <w:pPr>
      <w:spacing w:after="120"/>
    </w:pPr>
    <w:rPr>
      <w:rFonts w:eastAsia="Times New Roman"/>
    </w:rPr>
  </w:style>
  <w:style w:type="character" w:styleId="889" w:customStyle="1">
    <w:name w:val="Основной текст Знак"/>
    <w:link w:val="888"/>
    <w:rPr>
      <w:rFonts w:ascii="Calibri" w:hAnsi="Calibri" w:eastAsia="Times New Roman" w:cs="Times New Roman"/>
    </w:rPr>
  </w:style>
  <w:style w:type="paragraph" w:styleId="890" w:customStyle="1">
    <w:name w:val="Верхний колонтитул;ВерхКолонтитул"/>
    <w:basedOn w:val="688"/>
    <w:link w:val="89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1" w:customStyle="1">
    <w:name w:val="Верхний колонтитул Знак;ВерхКолонтитул Знак"/>
    <w:link w:val="89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2">
    <w:name w:val="Balloon Text"/>
    <w:basedOn w:val="688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link w:val="89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4" w:customStyle="1">
    <w:name w:val="Нижний колонтитул Знак"/>
    <w:link w:val="738"/>
    <w:uiPriority w:val="99"/>
    <w:rPr>
      <w:sz w:val="22"/>
      <w:szCs w:val="22"/>
      <w:lang w:eastAsia="en-US"/>
    </w:rPr>
  </w:style>
  <w:style w:type="character" w:styleId="895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96">
    <w:name w:val="annotation text"/>
    <w:basedOn w:val="688"/>
    <w:link w:val="8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7" w:customStyle="1">
    <w:name w:val="Текст примечания Знак"/>
    <w:basedOn w:val="698"/>
    <w:link w:val="896"/>
    <w:uiPriority w:val="99"/>
    <w:semiHidden/>
    <w:rPr>
      <w:lang w:eastAsia="en-US"/>
    </w:rPr>
  </w:style>
  <w:style w:type="paragraph" w:styleId="898">
    <w:name w:val="annotation subject"/>
    <w:basedOn w:val="896"/>
    <w:next w:val="896"/>
    <w:link w:val="899"/>
    <w:uiPriority w:val="99"/>
    <w:semiHidden/>
    <w:unhideWhenUsed/>
    <w:rPr>
      <w:b/>
      <w:bCs/>
    </w:rPr>
  </w:style>
  <w:style w:type="character" w:styleId="899" w:customStyle="1">
    <w:name w:val="Тема примечания Знак"/>
    <w:basedOn w:val="897"/>
    <w:link w:val="898"/>
    <w:uiPriority w:val="99"/>
    <w:semiHidden/>
    <w:rPr>
      <w:b/>
      <w:bCs/>
      <w:lang w:eastAsia="en-US"/>
    </w:rPr>
  </w:style>
  <w:style w:type="paragraph" w:styleId="90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563429628022DCE612ECDC179EE96E27E296DAF5E3F9730AD282A1DEC637284C8D40453BE7FDD39C7B75787C160F87DB3E3FC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8803-C32B-426A-A02C-B8EAE087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32</cp:revision>
  <dcterms:created xsi:type="dcterms:W3CDTF">2023-11-08T07:07:00Z</dcterms:created>
  <dcterms:modified xsi:type="dcterms:W3CDTF">2024-02-12T09:40:36Z</dcterms:modified>
  <cp:version>917504</cp:version>
</cp:coreProperties>
</file>