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УТВЕРЖДЕНО</w:t>
      </w:r>
      <w:r>
        <w:rPr>
          <w:sz w:val="28"/>
          <w:szCs w:val="28"/>
        </w:rPr>
      </w:r>
    </w:p>
    <w:p>
      <w:pPr>
        <w:pStyle w:val="85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распоряжением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Предложени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</w:t>
      </w:r>
      <w:r>
        <w:rPr>
          <w:sz w:val="28"/>
          <w:szCs w:val="28"/>
        </w:rPr>
        <w:t xml:space="preserve">, созда</w:t>
      </w:r>
      <w:r>
        <w:rPr>
          <w:sz w:val="28"/>
          <w:szCs w:val="28"/>
        </w:rPr>
        <w:t xml:space="preserve">нной</w:t>
      </w:r>
      <w:r>
        <w:rPr>
          <w:sz w:val="28"/>
          <w:szCs w:val="28"/>
        </w:rPr>
        <w:t xml:space="preserve"> в соответствии с частью 20 статьи 24 Градостроительного кодекса Российской Федерации на территории </w:t>
      </w:r>
      <w:r>
        <w:rPr>
          <w:sz w:val="28"/>
          <w:szCs w:val="28"/>
        </w:rPr>
        <w:t xml:space="preserve">Тогучинского </w:t>
      </w:r>
      <w:r>
        <w:rPr>
          <w:sz w:val="28"/>
          <w:szCs w:val="28"/>
        </w:rPr>
        <w:t xml:space="preserve">района Новосибирской области,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относительно </w:t>
      </w:r>
      <w:r>
        <w:rPr>
          <w:sz w:val="28"/>
          <w:szCs w:val="28"/>
        </w:rPr>
        <w:t xml:space="preserve">местоположения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границы населенного пункта</w:t>
      </w:r>
      <w:r>
        <w:rPr>
          <w:sz w:val="28"/>
          <w:szCs w:val="28"/>
        </w:rPr>
        <w:t xml:space="preserve"> поселка Мирный </w:t>
      </w:r>
      <w:r>
        <w:rPr>
          <w:sz w:val="28"/>
          <w:szCs w:val="28"/>
        </w:rPr>
        <w:t xml:space="preserve">Коуракского сельсовета Тогучинского</w:t>
      </w:r>
      <w:r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образуемого из лесного поселка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28.05.2024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567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  <w:t xml:space="preserve">Определить местоположение границы населенного пункта поселка Мирный Коуракского сельсовета Тогучинского района Новосибирской области, образуемого из лесного поселка, согласно прилагаемым схеме</w:t>
      </w:r>
      <w:r>
        <w:rPr>
          <w:rFonts w:eastAsia="Calibri"/>
          <w:sz w:val="28"/>
          <w:szCs w:val="28"/>
          <w:lang w:eastAsia="en-US"/>
        </w:rPr>
        <w:t xml:space="preserve"> границ населенного пункта поселка Мирный Коуракского сельсовета Тогучинского района Новосибирской области, образуемого из лесного поселка</w:t>
      </w:r>
      <w:r/>
      <w:r>
        <w:rPr>
          <w:rFonts w:eastAsia="Calibri"/>
          <w:sz w:val="28"/>
          <w:szCs w:val="28"/>
          <w:lang w:eastAsia="en-US"/>
        </w:rPr>
        <w:t xml:space="preserve">, и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сведениям о характерных точках границы </w:t>
      </w:r>
      <w:r>
        <w:rPr>
          <w:rFonts w:eastAsia="Calibri"/>
          <w:sz w:val="28"/>
          <w:szCs w:val="28"/>
          <w:lang w:eastAsia="en-US"/>
        </w:rPr>
        <w:t xml:space="preserve">населенного пункта поселка Мирный Коуракского сельсовета Тогучинского района Новосибирской области, образуемого из лесного поселка</w:t>
      </w:r>
      <w:r/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hd w:val="nil" w:color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 w:clear="all"/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8"/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1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Схема границ населенного пункта поселка Мирный Коуракского сельсовета Тогучинского района Новосибирской области, образуемого из лесного поселка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94320" cy="818832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284299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5794319" cy="8188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6.25pt;height:644.75pt;mso-wrap-distance-left:0.00pt;mso-wrap-distance-top:0.00pt;mso-wrap-distance-right:0.00pt;mso-wrap-distance-bottom:0.00pt;rotation:0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hd w:val="nil" w:color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 w:clear="all"/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center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8"/>
        <w:jc w:val="center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Сведения о характерных точках границы </w:t>
      </w:r>
      <w:r>
        <w:rPr>
          <w:rFonts w:eastAsia="Calibri"/>
          <w:sz w:val="28"/>
          <w:szCs w:val="28"/>
          <w:lang w:eastAsia="en-US"/>
        </w:rPr>
        <w:t xml:space="preserve">населенного пункта поселка Мирный Коуракского сельсовета Тогучинского района Новосибирской области, образуемого из лесного поселка</w:t>
      </w:r>
      <w:r/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pStyle w:val="698"/>
        <w:ind w:left="0" w:firstLine="709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  <w:sectPr>
          <w:footnotePr/>
          <w:endnotePr/>
          <w:type w:val="nextPage"/>
          <w:pgSz w:w="11906" w:h="16838" w:orient="portrait"/>
          <w:pgMar w:top="709" w:right="567" w:bottom="539" w:left="1418" w:header="709" w:footer="709" w:gutter="0"/>
          <w:cols w:num="1" w:sep="0" w:space="708" w:equalWidth="1"/>
          <w:docGrid w:linePitch="360"/>
        </w:sectPr>
      </w:pPr>
      <w:r>
        <w:rPr>
          <w:rFonts w:ascii="Calibri" w:hAnsi="Calibri" w:eastAsia="Times New Roman" w:cs="Calibri"/>
          <w:color w:val="000000"/>
          <w:lang w:eastAsia="ru-RU"/>
        </w:rPr>
      </w:r>
      <w:r>
        <w:rPr>
          <w:rFonts w:ascii="Calibri" w:hAnsi="Calibri" w:eastAsia="Times New Roman" w:cs="Calibri"/>
          <w:color w:val="000000"/>
          <w:lang w:eastAsia="ru-RU"/>
        </w:rPr>
      </w:r>
      <w:r>
        <w:rPr>
          <w:rFonts w:ascii="Calibri" w:hAnsi="Calibri" w:eastAsia="Times New Roman" w:cs="Calibri"/>
          <w:color w:val="000000"/>
          <w:lang w:eastAsia="ru-RU"/>
        </w:rPr>
      </w:r>
    </w:p>
    <w:tbl>
      <w:tblPr>
        <w:tblW w:w="3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04"/>
        <w:gridCol w:w="1164"/>
        <w:gridCol w:w="1276"/>
      </w:tblGrid>
      <w:tr>
        <w:tblPrEx/>
        <w:trPr>
          <w:trHeight w:val="300"/>
          <w:tblHeader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№ т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Y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453477.33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4316244.50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453475.35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4316239.04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453481.40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4316233.90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453476.80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4316222.06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453472.56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4316210.46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453471.04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4316199.31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453470.91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4316194.31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453473.42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4316190.28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453477.66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4316186.78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453481.39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4316182.91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453497.60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4316212.97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453534.69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4316198.52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453536.87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4316170.40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453539.31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4316152.38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453536.95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4316126.92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453526.33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4316094.49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453509.61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4316066.52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453495.86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4316042.63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453500.81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4316012.97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453479.52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4315983.13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453602.21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4315945.18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453646.72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4316005.62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453669.82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4316016.02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453724.72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4316025.04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453732.30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4316010.79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453744.55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4315979.31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453729.62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4315941.86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453716.81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4315909.73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453828.87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4315875.07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453863.11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4315943.92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453883.46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4315948.11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453899.18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4315944.81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453919.50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4315948.16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453933.88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4315962.07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453944.57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4315980.04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453963.70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4316024.89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453972.80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4316073.95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454056.12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4316101.06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454172.53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4316064.26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454140.86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4315986.37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454176.81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4315927.32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454159.28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4315864.29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454206.96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4315877.87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454206.96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4315877.86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454314.97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4315908.61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454412.86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4315777.43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454465.03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4315834.93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454500.86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4315878.19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454513.26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4315841.44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454532.66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4315834.56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454548.57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4315826.11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454551.71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4315824.39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454475.80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4315751.88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454444.14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4315712.66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454455.48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4315687.93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454485.51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4315721.66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454676.54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4315667.04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454682.24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4315690.90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454701.95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4315700.17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454713.27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4315681.42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454725.36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4315656.33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454729.87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4315633.12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454743.27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4315601.31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454768.55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4315570.30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454782.42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4315552.07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454783.04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4315530.36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454768.54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4315505.50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454772.16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4315458.55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454798.62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4315240.41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454807.60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4315207.68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454828.27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4315179.33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454836.02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4315149.39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454850.31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4315130.94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454837.51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4315113.79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454814.08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4315078.90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454727.83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4315061.96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454795.10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4314885.67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454570.10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4314695.47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454467.10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4314704.76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454393.03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4314643.41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454316.81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4314644.14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454307.30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4314642.16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454299.84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4314637.05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454291.15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4314623.99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454289.56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4314621.60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454265.87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4314623.15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454249.72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4314614.15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454223.71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4314670.75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89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454230.71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4314668.49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454239.11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4314673.98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454246.66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4314677.83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454259.04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4314682.44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454261.89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4314684.25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454290.86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4314698.49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454301.02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4314691.55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454307.42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4314696.38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454307.53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4314696.34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454352.63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4314745.96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454334.98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4314787.30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453906.04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4315084.68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101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453894.48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4315061.95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453888.74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4315060.60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453776.49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4315091.74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453777.50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4315107.29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453811.55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4315143.96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453812.88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4315144.61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453391.65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4315408.82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453272.19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4315788.84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109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453208.89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4315990.22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453182.16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4316075.12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453346.00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4316024.43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112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453362.49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4316092.37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113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453380.37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4316126.36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70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114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16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453466.67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246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4316242.55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pStyle w:val="698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continuous"/>
          <w:pgSz w:w="11906" w:h="16838" w:orient="portrait"/>
          <w:pgMar w:top="1134" w:right="567" w:bottom="1134" w:left="1418" w:header="709" w:footer="709" w:gutter="0"/>
          <w:cols w:num="3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  <w:lang w:val="ru-RU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8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sz w:val="32"/>
      </w:rPr>
    </w:lvl>
    <w:lvl w:ilvl="1">
      <w:start w:val="1"/>
      <w:numFmt w:val="decimal"/>
      <w:isLgl w:val="false"/>
      <w:suff w:val="tab"/>
      <w:lvlText w:val="%1.%2."/>
      <w:lvlJc w:val="left"/>
      <w:pPr>
        <w:ind w:left="163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36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36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2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8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8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444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semiHidden/>
  </w:style>
  <w:style w:type="table" w:styleId="860">
    <w:name w:val="Обычная таблица"/>
    <w:next w:val="860"/>
    <w:link w:val="858"/>
    <w:semiHidden/>
    <w:tblPr/>
  </w:style>
  <w:style w:type="numbering" w:styleId="861">
    <w:name w:val="Нет списка"/>
    <w:next w:val="861"/>
    <w:link w:val="858"/>
    <w:semiHidden/>
  </w:style>
  <w:style w:type="paragraph" w:styleId="862">
    <w:name w:val="Текст выноски"/>
    <w:basedOn w:val="858"/>
    <w:next w:val="862"/>
    <w:link w:val="858"/>
    <w:semiHidden/>
    <w:rPr>
      <w:rFonts w:ascii="Tahoma" w:hAnsi="Tahoma" w:cs="Tahoma"/>
      <w:sz w:val="16"/>
      <w:szCs w:val="16"/>
    </w:rPr>
  </w:style>
  <w:style w:type="character" w:styleId="863">
    <w:name w:val="Гиперссылка"/>
    <w:next w:val="863"/>
    <w:link w:val="858"/>
    <w:uiPriority w:val="99"/>
    <w:rPr>
      <w:color w:val="0000ff"/>
      <w:u w:val="single"/>
    </w:rPr>
  </w:style>
  <w:style w:type="paragraph" w:styleId="864">
    <w:name w:val="Знак Знак Знак Знак Знак Знак Знак"/>
    <w:basedOn w:val="858"/>
    <w:next w:val="864"/>
    <w:link w:val="85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865">
    <w:name w:val="Гипертекстовая ссылка"/>
    <w:next w:val="865"/>
    <w:link w:val="858"/>
    <w:rPr>
      <w:rFonts w:ascii="Times New Roman" w:hAnsi="Times New Roman" w:cs="Times New Roman"/>
      <w:color w:val="008000"/>
      <w:sz w:val="28"/>
      <w:szCs w:val="28"/>
      <w:u w:val="single"/>
    </w:rPr>
  </w:style>
  <w:style w:type="table" w:styleId="866">
    <w:name w:val="Сетка таблицы"/>
    <w:basedOn w:val="860"/>
    <w:next w:val="866"/>
    <w:link w:val="858"/>
    <w:uiPriority w:val="59"/>
    <w:tblPr/>
  </w:style>
  <w:style w:type="paragraph" w:styleId="867">
    <w:name w:val="Верхний колонтитул"/>
    <w:basedOn w:val="858"/>
    <w:next w:val="867"/>
    <w:link w:val="868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8">
    <w:name w:val="Верхний колонтитул Знак"/>
    <w:next w:val="868"/>
    <w:link w:val="867"/>
    <w:uiPriority w:val="99"/>
    <w:rPr>
      <w:sz w:val="24"/>
      <w:szCs w:val="24"/>
    </w:rPr>
  </w:style>
  <w:style w:type="paragraph" w:styleId="869">
    <w:name w:val="Нижний колонтитул"/>
    <w:basedOn w:val="858"/>
    <w:next w:val="869"/>
    <w:link w:val="870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0">
    <w:name w:val="Нижний колонтитул Знак"/>
    <w:next w:val="870"/>
    <w:link w:val="869"/>
    <w:rPr>
      <w:sz w:val="24"/>
      <w:szCs w:val="24"/>
    </w:rPr>
  </w:style>
  <w:style w:type="paragraph" w:styleId="871">
    <w:name w:val="Абзац списка"/>
    <w:basedOn w:val="858"/>
    <w:next w:val="871"/>
    <w:link w:val="858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872">
    <w:name w:val="Обычный (веб)"/>
    <w:basedOn w:val="858"/>
    <w:next w:val="872"/>
    <w:link w:val="858"/>
    <w:uiPriority w:val="99"/>
    <w:unhideWhenUsed/>
    <w:pPr>
      <w:spacing w:before="100" w:beforeAutospacing="1" w:after="100" w:afterAutospacing="1"/>
    </w:p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Minstroy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</dc:title>
  <dc:creator>UZER</dc:creator>
  <cp:revision>37</cp:revision>
  <dcterms:created xsi:type="dcterms:W3CDTF">2020-11-19T04:03:00Z</dcterms:created>
  <dcterms:modified xsi:type="dcterms:W3CDTF">2024-06-10T04:37:53Z</dcterms:modified>
  <cp:version>917504</cp:version>
</cp:coreProperties>
</file>