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  <w:ind w:left="5669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</w:rPr>
      </w:r>
      <w:r/>
    </w:p>
    <w:p>
      <w:pPr>
        <w:pStyle w:val="693"/>
        <w:ind w:left="5669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</w:rPr>
      </w:r>
      <w:r/>
    </w:p>
    <w:p>
      <w:pPr>
        <w:pStyle w:val="693"/>
        <w:ind w:left="5669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внесении изменений в отдельные постановления Правительства </w:t>
      </w:r>
      <w:r>
        <w:rPr>
          <w:rFonts w:ascii="Times New Roman" w:hAnsi="Times New Roman" w:cs="Times New Roman"/>
        </w:rPr>
      </w:r>
      <w:r/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693"/>
        <w:ind w:left="0" w:right="0" w:firstLine="709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п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с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т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а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н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в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л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я</w:t>
      </w:r>
      <w:r>
        <w:rPr>
          <w:rFonts w:ascii="Times New Roman" w:hAnsi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е т</w:t>
      </w:r>
      <w:r>
        <w:rPr>
          <w:rFonts w:ascii="Times New Roman" w:hAnsi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21.06.2022 № 286-п «О Порядке предоставления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меры социальной поддержки в виде компенсации расходов, связанных с осуществлением мероприятий по газификации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»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Порядке предоставления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меры социальной поддержки в виде компенсации расходов, связанных с осуществлением мероприятий по газификации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в пункте 4:</w:t>
      </w:r>
      <w:r>
        <w:rPr>
          <w:rFonts w:ascii="Times New Roman" w:hAnsi="Times New Roman" w:cs="Times New Roman"/>
          <w:sz w:val="28"/>
          <w:szCs w:val="28"/>
          <w:u w:val="none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1) подпункт 2 изложить в следующей редакции:</w:t>
      </w:r>
      <w:r>
        <w:rPr>
          <w:rFonts w:ascii="Times New Roman" w:hAnsi="Times New Roman" w:cs="Times New Roman"/>
          <w:sz w:val="28"/>
          <w:szCs w:val="28"/>
          <w:u w:val="none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«2) копию договора, содержащего информацию о выполнении мероприятий (работ, услуг) в рамках обеспечения п</w:t>
      </w:r>
      <w:r>
        <w:rPr>
          <w:rStyle w:val="860"/>
          <w:rFonts w:ascii="Times New Roman" w:hAnsi="Times New Roman" w:cs="Times New Roman"/>
          <w:sz w:val="28"/>
          <w:szCs w:val="28"/>
          <w:u w:val="none"/>
        </w:rPr>
        <w:t xml:space="preserve">одкл</w:t>
      </w: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ючения (технологического п</w:t>
      </w: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рисоединения) газоиспользующего оборудования в пределах границ земельного участка, на котором располагается принадлежащий заявителю (членам его семьи) на праве собственности жилой дом, к сетям газораспределения, и (или)  об установке газоиспользующего обо</w:t>
      </w: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рудования, и (или) строительстве либо реконструкции внутреннего газопровода жилого дома, и (или) установке прибора учета газа, и (или) приобретении газоиспользующего оборудования, и (или) </w:t>
      </w: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приобретении</w:t>
      </w: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 прибора учета газа (далее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 договор о газификации);»;</w:t>
      </w:r>
      <w:r>
        <w:rPr>
          <w:rFonts w:ascii="Times New Roman" w:hAnsi="Times New Roman" w:cs="Times New Roman"/>
          <w:sz w:val="28"/>
          <w:szCs w:val="28"/>
          <w:u w:val="none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2) подпункт 4 изложить в следующей редакции:</w:t>
      </w:r>
      <w:r>
        <w:rPr>
          <w:rFonts w:ascii="Times New Roman" w:hAnsi="Times New Roman" w:cs="Times New Roman"/>
          <w:sz w:val="28"/>
          <w:szCs w:val="28"/>
          <w:u w:val="none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pacing w:val="0"/>
          <w:position w:val="0"/>
          <w:sz w:val="28"/>
          <w:szCs w:val="28"/>
          <w:u w:val="none"/>
          <w:lang w:val="ru-RU" w:eastAsia="ru-RU" w:bidi="ru-RU"/>
        </w:rPr>
        <w:t xml:space="preserve">«4) копии платежных документов, подтверждающих факт и размер оплаты мероприятий (работ, услуг) по договору о газификации, приобретения газоиспользующего оборудования, и (или) прибора учета газа;».</w:t>
      </w:r>
      <w:r>
        <w:rPr>
          <w:rFonts w:ascii="Times New Roman" w:hAnsi="Times New Roman" w:cs="Times New Roman"/>
          <w:sz w:val="28"/>
          <w:szCs w:val="28"/>
          <w:u w:val="none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 Внести в постановление Правительства Новосибирской области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06.04.2023 № 141-п «О Порядке предоставления ежемесячной денежной выплаты, назначаемой в случае рождения третьего ребенка или последующих детей до достижения ребенком возраста трех лет»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следующие изменения:</w:t>
      </w:r>
      <w:r/>
    </w:p>
    <w:p>
      <w:pPr>
        <w:pStyle w:val="693"/>
        <w:ind w:left="0" w:right="0"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Порядке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предоставления ежемесячной денежной выплаты, назначаемой в случае рождения третьего ребенка или последующих детей до достижения ребенком возраста трех лет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pStyle w:val="693"/>
        <w:ind w:left="0" w:right="0"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пункте 25:</w:t>
      </w:r>
      <w:r/>
    </w:p>
    <w:p>
      <w:pPr>
        <w:pStyle w:val="693"/>
        <w:ind w:left="0" w:right="0"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абзацы 4, 5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93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назначения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ежемесячной денежной выплаты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очередной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центр социальной поддержки населения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подается заявление (одним из способов, перечисленных в пункте 5 настоящего Порядка)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К заявлению прилагаются документы, предусмотренные пунктом 8 настоящего Порядка.</w:t>
      </w:r>
      <w:r>
        <w:rPr>
          <w:highlight w:val="white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бращения за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назначением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ежемесячной денежной выплаты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очередной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 истечения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назначения ежемесячной денежной выплаты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назначение ежемесячной денежной выплаты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очередной год производится с месяца, следующего за месяцем истечения срока предыдущего назначения.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бращения за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назначением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ежемесячной денежной выплаты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после истечения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назначения ежемесячной денежной выплаты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назначение ежемесячной денежной выплаты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очередной год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производится с месяца,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котором подано заявление.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9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cs="Times New Roman"/>
          <w:sz w:val="28"/>
          <w:szCs w:val="28"/>
        </w:rPr>
        <w:t xml:space="preserve">Пункт 2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03.07.2023.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9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Е.В. Бахарева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850"/>
        <w:ind w:left="0" w:right="-1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238 75 10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62"/>
        <w:gridCol w:w="3969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Первый заместитель Губернатора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                            Ю.Ф. Петухов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Заместитель Губернатора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Новосибирской области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                            С.А. Нелюбов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7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Министр юстиции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r>
            <w:r/>
          </w:p>
          <w:p>
            <w:pPr>
              <w:pStyle w:val="693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                                Т.Н. Деркач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5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– министр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налоговой политики Новосибирской области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3"/>
              <w:rPr>
                <w14:ligatures w14:val="none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  <w:p>
            <w:pPr>
              <w:pStyle w:val="693"/>
              <w:rPr>
                <w14:ligatures w14:val="none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/>
          </w:p>
          <w:p>
            <w:pPr>
              <w:pStyle w:val="8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В.Ю. Голубенко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r>
            <w:r/>
          </w:p>
          <w:p>
            <w:pPr>
              <w:pStyle w:val="693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Бахарева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Начальник управления организации 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социальных выплат                                                                                                                                         Т.А. Мальцева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Заместитель начальника управления – начальник отдела 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судебной и договорной работы правового управления 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министерства труда и социального развития Новосибирской области </w:t>
        <w:tab/>
        <w:tab/>
        <w:t xml:space="preserve">                                 И.В. Перкова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/>
    </w:p>
    <w:p>
      <w:pPr>
        <w:pStyle w:val="6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М.М. Иванникова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pStyle w:val="69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(383) 238 75 02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</w:pPr>
    <w:fldSimple w:instr="PAGE \* MERGEFORMAT">
      <w:r>
        <w:t xml:space="preserve">1</w:t>
      </w:r>
    </w:fldSimple>
    <w:r/>
    <w:r/>
  </w:p>
  <w:p>
    <w:pPr>
      <w:pStyle w:val="8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1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1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1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0"/>
    <w:next w:val="85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1"/>
    <w:link w:val="694"/>
    <w:uiPriority w:val="10"/>
    <w:rPr>
      <w:sz w:val="48"/>
      <w:szCs w:val="48"/>
    </w:rPr>
  </w:style>
  <w:style w:type="paragraph" w:styleId="696">
    <w:name w:val="Subtitle"/>
    <w:basedOn w:val="850"/>
    <w:next w:val="85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1"/>
    <w:link w:val="696"/>
    <w:uiPriority w:val="11"/>
    <w:rPr>
      <w:sz w:val="24"/>
      <w:szCs w:val="24"/>
    </w:rPr>
  </w:style>
  <w:style w:type="paragraph" w:styleId="698">
    <w:name w:val="Quote"/>
    <w:basedOn w:val="850"/>
    <w:next w:val="850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0"/>
    <w:next w:val="850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1"/>
    <w:link w:val="856"/>
    <w:uiPriority w:val="99"/>
  </w:style>
  <w:style w:type="character" w:styleId="703">
    <w:name w:val="Footer Char"/>
    <w:basedOn w:val="851"/>
    <w:link w:val="858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858"/>
    <w:uiPriority w:val="99"/>
  </w:style>
  <w:style w:type="table" w:styleId="706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Balloon Text"/>
    <w:basedOn w:val="850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51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>
    <w:name w:val="Header"/>
    <w:basedOn w:val="850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1"/>
    <w:link w:val="856"/>
    <w:uiPriority w:val="99"/>
  </w:style>
  <w:style w:type="paragraph" w:styleId="858">
    <w:name w:val="Footer"/>
    <w:basedOn w:val="850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1"/>
    <w:link w:val="858"/>
    <w:uiPriority w:val="99"/>
  </w:style>
  <w:style w:type="character" w:styleId="860" w:customStyle="1">
    <w:name w:val="Основной текст (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revision>19</cp:revision>
  <dcterms:created xsi:type="dcterms:W3CDTF">2023-05-03T02:09:00Z</dcterms:created>
  <dcterms:modified xsi:type="dcterms:W3CDTF">2023-07-20T04:14:52Z</dcterms:modified>
</cp:coreProperties>
</file>