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D6" w:rsidRDefault="00C73AD6" w:rsidP="00C73AD6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C73AD6" w:rsidRDefault="00C73AD6" w:rsidP="00C73AD6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C73AD6" w:rsidRDefault="00C73AD6" w:rsidP="00C73AD6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73AD6" w:rsidRPr="00D263EC" w:rsidRDefault="00C73AD6" w:rsidP="00C73AD6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D263EC"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C73AD6" w:rsidRDefault="00C73AD6" w:rsidP="00C73AD6">
      <w:pPr>
        <w:spacing w:after="0" w:line="240" w:lineRule="auto"/>
        <w:ind w:left="5102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73AD6" w:rsidRDefault="00C73AD6" w:rsidP="00C73AD6">
      <w:pPr>
        <w:spacing w:after="0" w:line="240" w:lineRule="auto"/>
        <w:ind w:left="5102" w:hanging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1F95" w:rsidRPr="00211F95" w:rsidRDefault="00C73AD6" w:rsidP="00C73A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F95" w:rsidRPr="00211F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F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1F95" w:rsidRPr="00211F95">
        <w:rPr>
          <w:rFonts w:ascii="Times New Roman" w:hAnsi="Times New Roman" w:cs="Times New Roman"/>
          <w:sz w:val="28"/>
          <w:szCs w:val="28"/>
        </w:rPr>
        <w:t>3</w:t>
      </w:r>
      <w:r w:rsidR="00211F95">
        <w:rPr>
          <w:rFonts w:ascii="Times New Roman" w:hAnsi="Times New Roman" w:cs="Times New Roman"/>
          <w:sz w:val="28"/>
          <w:szCs w:val="28"/>
        </w:rPr>
        <w:t>4</w:t>
      </w:r>
    </w:p>
    <w:p w:rsidR="00211F95" w:rsidRDefault="00211F95" w:rsidP="00C73A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F9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образования,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социализации детей и 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молодежи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4A15" w:rsidRPr="00211F95" w:rsidRDefault="00E74A15" w:rsidP="00211F9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11F95" w:rsidRPr="00211F95" w:rsidRDefault="00211F95" w:rsidP="00211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Методика</w:t>
      </w:r>
    </w:p>
    <w:p w:rsidR="00211F95" w:rsidRDefault="00211F95" w:rsidP="00211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распределения иных межбюджетных трансфертов и правила</w:t>
      </w:r>
    </w:p>
    <w:p w:rsidR="00E74A15" w:rsidRDefault="00211F95" w:rsidP="00211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предоставления местным бюджетам муниципальных образований</w:t>
      </w:r>
      <w:r w:rsidR="00E74A15"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Новосибирской области из областного бюджета Новосибирской</w:t>
      </w:r>
      <w:r w:rsidR="00E74A15"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области</w:t>
      </w:r>
    </w:p>
    <w:p w:rsidR="00211F95" w:rsidRPr="00211F95" w:rsidRDefault="00E74A15" w:rsidP="00211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A15">
        <w:rPr>
          <w:rFonts w:ascii="Times New Roman" w:hAnsi="Times New Roman" w:cs="Times New Roman"/>
          <w:sz w:val="28"/>
          <w:szCs w:val="28"/>
        </w:rPr>
        <w:t>на обеспечение деятельности советников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A15">
        <w:rPr>
          <w:rFonts w:ascii="Times New Roman" w:hAnsi="Times New Roman" w:cs="Times New Roman"/>
          <w:sz w:val="28"/>
          <w:szCs w:val="28"/>
        </w:rPr>
        <w:t>воспитанию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4A15">
        <w:rPr>
          <w:rFonts w:ascii="Times New Roman" w:hAnsi="Times New Roman" w:cs="Times New Roman"/>
          <w:sz w:val="28"/>
          <w:szCs w:val="28"/>
        </w:rPr>
        <w:t>взаимодействию с детскими общественными объединениями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4A15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Настоящая Методика определяет процедуру распределения и</w:t>
      </w:r>
      <w:r w:rsidR="00E74A15"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из областного бюджета Новосибирской области (далее</w:t>
      </w:r>
      <w:r w:rsidR="00E74A15">
        <w:rPr>
          <w:rFonts w:ascii="Times New Roman" w:hAnsi="Times New Roman" w:cs="Times New Roman"/>
          <w:sz w:val="28"/>
          <w:szCs w:val="28"/>
        </w:rPr>
        <w:t> – </w:t>
      </w:r>
      <w:r w:rsidRPr="00211F95">
        <w:rPr>
          <w:rFonts w:ascii="Times New Roman" w:hAnsi="Times New Roman" w:cs="Times New Roman"/>
          <w:sz w:val="28"/>
          <w:szCs w:val="28"/>
        </w:rPr>
        <w:t xml:space="preserve">областной бюджет) бюджетам муниципальных образований Новосибирской области </w:t>
      </w:r>
      <w:r w:rsidR="00E74A15" w:rsidRPr="00E74A15">
        <w:rPr>
          <w:rFonts w:ascii="Times New Roman" w:hAnsi="Times New Roman" w:cs="Times New Roman"/>
          <w:sz w:val="28"/>
          <w:szCs w:val="28"/>
        </w:rPr>
        <w:t>на</w:t>
      </w:r>
      <w:r w:rsidR="00E74A15">
        <w:rPr>
          <w:rFonts w:ascii="Times New Roman" w:hAnsi="Times New Roman" w:cs="Times New Roman"/>
          <w:sz w:val="28"/>
          <w:szCs w:val="28"/>
        </w:rPr>
        <w:t> </w:t>
      </w:r>
      <w:r w:rsidR="00E74A15" w:rsidRPr="00E74A15">
        <w:rPr>
          <w:rFonts w:ascii="Times New Roman" w:hAnsi="Times New Roman" w:cs="Times New Roman"/>
          <w:sz w:val="28"/>
          <w:szCs w:val="28"/>
        </w:rPr>
        <w:t>обеспечение деятельности совет</w:t>
      </w:r>
      <w:r w:rsidR="00E74A15">
        <w:rPr>
          <w:rFonts w:ascii="Times New Roman" w:hAnsi="Times New Roman" w:cs="Times New Roman"/>
          <w:sz w:val="28"/>
          <w:szCs w:val="28"/>
        </w:rPr>
        <w:t>ников директора по воспитанию и </w:t>
      </w:r>
      <w:r w:rsidR="00E74A15" w:rsidRPr="00E74A15">
        <w:rPr>
          <w:rFonts w:ascii="Times New Roman" w:hAnsi="Times New Roman" w:cs="Times New Roman"/>
          <w:sz w:val="28"/>
          <w:szCs w:val="28"/>
        </w:rPr>
        <w:t>взаимодействию с детским</w:t>
      </w:r>
      <w:r w:rsidR="00E74A15">
        <w:rPr>
          <w:rFonts w:ascii="Times New Roman" w:hAnsi="Times New Roman" w:cs="Times New Roman"/>
          <w:sz w:val="28"/>
          <w:szCs w:val="28"/>
        </w:rPr>
        <w:t>и общественными объединениями в </w:t>
      </w:r>
      <w:r w:rsidR="00E74A15" w:rsidRPr="00E74A15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211F95">
        <w:rPr>
          <w:rFonts w:ascii="Times New Roman" w:hAnsi="Times New Roman" w:cs="Times New Roman"/>
          <w:sz w:val="28"/>
          <w:szCs w:val="28"/>
        </w:rPr>
        <w:t>, расположенных на</w:t>
      </w:r>
      <w:r w:rsidR="00D6380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11F95">
        <w:rPr>
          <w:rFonts w:ascii="Times New Roman" w:hAnsi="Times New Roman" w:cs="Times New Roman"/>
          <w:sz w:val="28"/>
          <w:szCs w:val="28"/>
        </w:rPr>
        <w:t>территории Новосибирской области (далее</w:t>
      </w:r>
      <w:r w:rsidR="00E74A15">
        <w:rPr>
          <w:rFonts w:ascii="Times New Roman" w:hAnsi="Times New Roman" w:cs="Times New Roman"/>
          <w:sz w:val="28"/>
          <w:szCs w:val="28"/>
        </w:rPr>
        <w:t> – советники</w:t>
      </w:r>
      <w:r w:rsidRPr="00226227">
        <w:rPr>
          <w:rFonts w:ascii="Times New Roman" w:hAnsi="Times New Roman" w:cs="Times New Roman"/>
          <w:sz w:val="28"/>
          <w:szCs w:val="28"/>
        </w:rPr>
        <w:t xml:space="preserve">), в рамках реализации государственной программы Новосибирской области «Развитие образования, создание условий для социализации </w:t>
      </w:r>
      <w:r w:rsidR="00E74A15">
        <w:rPr>
          <w:rFonts w:ascii="Times New Roman" w:hAnsi="Times New Roman" w:cs="Times New Roman"/>
          <w:sz w:val="28"/>
          <w:szCs w:val="28"/>
        </w:rPr>
        <w:t>детей и учащейся молодежи в </w:t>
      </w:r>
      <w:r w:rsidRPr="00211F9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F9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74A15">
        <w:rPr>
          <w:rFonts w:ascii="Times New Roman" w:hAnsi="Times New Roman" w:cs="Times New Roman"/>
          <w:sz w:val="28"/>
          <w:szCs w:val="28"/>
        </w:rPr>
        <w:t> – </w:t>
      </w:r>
      <w:r w:rsidRPr="00211F95">
        <w:rPr>
          <w:rFonts w:ascii="Times New Roman" w:hAnsi="Times New Roman" w:cs="Times New Roman"/>
          <w:sz w:val="28"/>
          <w:szCs w:val="28"/>
        </w:rPr>
        <w:t>иные межбюджетные трансферты).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211F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</w:t>
      </w:r>
      <w:r w:rsidR="00B20777" w:rsidRPr="00B2077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B20777" w:rsidRPr="00B207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20777" w:rsidRPr="00B20777">
        <w:rPr>
          <w:rFonts w:ascii="Times New Roman" w:hAnsi="Times New Roman" w:cs="Times New Roman"/>
          <w:sz w:val="28"/>
          <w:szCs w:val="28"/>
        </w:rPr>
        <w:t xml:space="preserve"> в полном объеме расходных обязательств по финансовому обеспечению деятельности советников</w:t>
      </w:r>
      <w:r w:rsidRPr="00B20777">
        <w:rPr>
          <w:rFonts w:ascii="Times New Roman" w:hAnsi="Times New Roman" w:cs="Times New Roman"/>
          <w:sz w:val="28"/>
          <w:szCs w:val="28"/>
        </w:rPr>
        <w:t>.</w:t>
      </w:r>
    </w:p>
    <w:p w:rsidR="00211F95" w:rsidRPr="00226227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сумм, утвержденных законом Новосибирской области об областном бюджете на</w:t>
      </w:r>
      <w:r w:rsidR="00E74A15"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период, в пределах доведенных лимитов бюджетных обязательств, а также в соответствии с</w:t>
      </w:r>
      <w:r w:rsidR="00E74A15">
        <w:rPr>
          <w:rFonts w:ascii="Times New Roman" w:hAnsi="Times New Roman" w:cs="Times New Roman"/>
          <w:sz w:val="28"/>
          <w:szCs w:val="28"/>
        </w:rPr>
        <w:t> </w:t>
      </w:r>
      <w:r w:rsidRPr="00226227">
        <w:rPr>
          <w:rFonts w:ascii="Times New Roman" w:hAnsi="Times New Roman" w:cs="Times New Roman"/>
          <w:sz w:val="28"/>
          <w:szCs w:val="28"/>
        </w:rPr>
        <w:t>Порядком составления и ведения кассового плана исполнения областного бюджета Новосибирской области, утвержденным приказом министерства финансов и налоговой по</w:t>
      </w:r>
      <w:r w:rsidR="00E74A15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Pr="00226227">
        <w:rPr>
          <w:rFonts w:ascii="Times New Roman" w:hAnsi="Times New Roman" w:cs="Times New Roman"/>
          <w:sz w:val="28"/>
          <w:szCs w:val="28"/>
        </w:rPr>
        <w:t>07.12.2017</w:t>
      </w:r>
      <w:r w:rsidR="00B20777">
        <w:rPr>
          <w:rFonts w:ascii="Times New Roman" w:hAnsi="Times New Roman" w:cs="Times New Roman"/>
          <w:sz w:val="28"/>
          <w:szCs w:val="28"/>
        </w:rPr>
        <w:br/>
        <w:t>№ </w:t>
      </w:r>
      <w:r w:rsidRPr="00226227">
        <w:rPr>
          <w:rFonts w:ascii="Times New Roman" w:hAnsi="Times New Roman" w:cs="Times New Roman"/>
          <w:sz w:val="28"/>
          <w:szCs w:val="28"/>
        </w:rPr>
        <w:t>69-НПА, на цели, указанные в пункте 2 настоящей Методики.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между бюджетами муниципальных образований утверждается законом Новосибирской области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областном бюджете на соответствующий финансовый год и плановый период.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 xml:space="preserve">Критерием отбора для предоставления иных межбюджетных трансфертов </w:t>
      </w:r>
      <w:r w:rsidR="005F48E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F48EF" w:rsidRPr="005F48E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43BA7">
        <w:rPr>
          <w:rFonts w:ascii="Times New Roman" w:hAnsi="Times New Roman" w:cs="Times New Roman"/>
          <w:sz w:val="28"/>
          <w:szCs w:val="28"/>
        </w:rPr>
        <w:t xml:space="preserve">в штатном расписании </w:t>
      </w:r>
      <w:r w:rsidR="005F48EF" w:rsidRPr="005F48EF">
        <w:rPr>
          <w:rFonts w:ascii="Times New Roman" w:hAnsi="Times New Roman" w:cs="Times New Roman"/>
          <w:sz w:val="28"/>
          <w:szCs w:val="28"/>
        </w:rPr>
        <w:t>муниципальны</w:t>
      </w:r>
      <w:r w:rsidR="00943BA7">
        <w:rPr>
          <w:rFonts w:ascii="Times New Roman" w:hAnsi="Times New Roman" w:cs="Times New Roman"/>
          <w:sz w:val="28"/>
          <w:szCs w:val="28"/>
        </w:rPr>
        <w:t>х</w:t>
      </w:r>
      <w:r w:rsidR="005F48EF" w:rsidRPr="005F48EF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943BA7">
        <w:rPr>
          <w:rFonts w:ascii="Times New Roman" w:hAnsi="Times New Roman" w:cs="Times New Roman"/>
          <w:sz w:val="28"/>
          <w:szCs w:val="28"/>
        </w:rPr>
        <w:t>х</w:t>
      </w:r>
      <w:r w:rsidR="005F48EF" w:rsidRPr="005F48E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3BA7">
        <w:rPr>
          <w:rFonts w:ascii="Times New Roman" w:hAnsi="Times New Roman" w:cs="Times New Roman"/>
          <w:sz w:val="28"/>
          <w:szCs w:val="28"/>
        </w:rPr>
        <w:t>й</w:t>
      </w:r>
      <w:r w:rsidR="005F48EF" w:rsidRPr="005F48EF">
        <w:rPr>
          <w:rFonts w:ascii="Times New Roman" w:hAnsi="Times New Roman" w:cs="Times New Roman"/>
          <w:sz w:val="28"/>
          <w:szCs w:val="28"/>
        </w:rPr>
        <w:t xml:space="preserve"> </w:t>
      </w:r>
      <w:r w:rsidR="00943BA7">
        <w:rPr>
          <w:rFonts w:ascii="Times New Roman" w:hAnsi="Times New Roman" w:cs="Times New Roman"/>
          <w:sz w:val="28"/>
          <w:szCs w:val="28"/>
        </w:rPr>
        <w:t xml:space="preserve">ставок </w:t>
      </w:r>
      <w:r w:rsidR="005F48EF" w:rsidRPr="005F48EF">
        <w:rPr>
          <w:rFonts w:ascii="Times New Roman" w:hAnsi="Times New Roman" w:cs="Times New Roman"/>
          <w:sz w:val="28"/>
          <w:szCs w:val="28"/>
        </w:rPr>
        <w:t>советников</w:t>
      </w:r>
      <w:r w:rsidRPr="00211F95">
        <w:rPr>
          <w:rFonts w:ascii="Times New Roman" w:hAnsi="Times New Roman" w:cs="Times New Roman"/>
          <w:sz w:val="28"/>
          <w:szCs w:val="28"/>
        </w:rPr>
        <w:t>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211F95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Новосибирской области при условии заключения между министерством образования Новосибирской области (далее - министерство)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районов, муниципальных и </w:t>
      </w:r>
      <w:r w:rsidR="005F48EF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Pr="00211F95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 (далее - органы местного самоуправления) соглашения о предоставлении иных межбюджетных трансфертов местным бюджетам из областного бюджета на </w:t>
      </w:r>
      <w:r w:rsidR="005F48EF" w:rsidRPr="005F48EF">
        <w:rPr>
          <w:rFonts w:ascii="Times New Roman" w:hAnsi="Times New Roman" w:cs="Times New Roman"/>
          <w:sz w:val="28"/>
          <w:szCs w:val="28"/>
        </w:rPr>
        <w:t>обеспечение деятельности советников</w:t>
      </w:r>
      <w:r w:rsidRPr="00211F95">
        <w:rPr>
          <w:rFonts w:ascii="Times New Roman" w:hAnsi="Times New Roman" w:cs="Times New Roman"/>
          <w:sz w:val="28"/>
          <w:szCs w:val="28"/>
        </w:rPr>
        <w:t xml:space="preserve"> (далее - соглашение) в</w:t>
      </w:r>
      <w:r w:rsidR="005F48EF"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с использованием государственной интегрированной системы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F9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F95">
        <w:rPr>
          <w:rFonts w:ascii="Times New Roman" w:hAnsi="Times New Roman" w:cs="Times New Roman"/>
          <w:sz w:val="28"/>
          <w:szCs w:val="28"/>
        </w:rPr>
        <w:t xml:space="preserve"> (далее - ГИИС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F9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F95">
        <w:rPr>
          <w:rFonts w:ascii="Times New Roman" w:hAnsi="Times New Roman" w:cs="Times New Roman"/>
          <w:sz w:val="28"/>
          <w:szCs w:val="28"/>
        </w:rPr>
        <w:t>) в</w:t>
      </w:r>
      <w:r w:rsidR="005F48EF">
        <w:rPr>
          <w:rFonts w:ascii="Times New Roman" w:hAnsi="Times New Roman" w:cs="Times New Roman"/>
          <w:sz w:val="28"/>
          <w:szCs w:val="28"/>
        </w:rPr>
        <w:t xml:space="preserve"> </w:t>
      </w:r>
      <w:r w:rsidRPr="00211F95">
        <w:rPr>
          <w:rFonts w:ascii="Times New Roman" w:hAnsi="Times New Roman" w:cs="Times New Roman"/>
          <w:sz w:val="28"/>
          <w:szCs w:val="28"/>
        </w:rPr>
        <w:t>соответствии с типовой формой, утвержденной Министерством финансов Российской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F95">
        <w:rPr>
          <w:rFonts w:ascii="Times New Roman" w:hAnsi="Times New Roman" w:cs="Times New Roman"/>
          <w:sz w:val="28"/>
          <w:szCs w:val="28"/>
        </w:rPr>
        <w:t>.</w:t>
      </w:r>
    </w:p>
    <w:p w:rsidR="00211F95" w:rsidRPr="00211F95" w:rsidRDefault="00211F95" w:rsidP="005F4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Для перечисления иных межбюджетных трансфертов органы местного самоуправления ежемесячно не позднее 20 числа направляют в министерство сведения о потребности в средствах иных межбюджетных трансфертов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 xml:space="preserve">следующий месяц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211F95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27">
        <w:rPr>
          <w:rFonts w:ascii="Times New Roman" w:hAnsi="Times New Roman" w:cs="Times New Roman"/>
          <w:sz w:val="28"/>
          <w:szCs w:val="28"/>
        </w:rPr>
        <w:t>заявки,</w:t>
      </w:r>
      <w:r w:rsidRPr="00211F95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 xml:space="preserve">05.04.2022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11F95">
        <w:rPr>
          <w:rFonts w:ascii="Times New Roman" w:hAnsi="Times New Roman" w:cs="Times New Roman"/>
          <w:sz w:val="28"/>
          <w:szCs w:val="28"/>
        </w:rPr>
        <w:t xml:space="preserve">655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F95">
        <w:rPr>
          <w:rFonts w:ascii="Times New Roman" w:hAnsi="Times New Roman" w:cs="Times New Roman"/>
          <w:sz w:val="28"/>
          <w:szCs w:val="28"/>
        </w:rPr>
        <w:t>Об утверждении формы заявки на предоставление бюджетам муниципальных образований Новосибирской области объемов финансирования министерством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F95">
        <w:rPr>
          <w:rFonts w:ascii="Times New Roman" w:hAnsi="Times New Roman" w:cs="Times New Roman"/>
          <w:sz w:val="28"/>
          <w:szCs w:val="28"/>
        </w:rPr>
        <w:t>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 осуществляется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счета, открытые территориальным органом Федерального казначейства, ежемесячно, не позднее 20 числа месяца, следующего за месяцем представления заявки.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Органы местного самоуправления размещают в установленный срок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 xml:space="preserve">соответствии с соглашением в ГИИС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F9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F95">
        <w:rPr>
          <w:rFonts w:ascii="Times New Roman" w:hAnsi="Times New Roman" w:cs="Times New Roman"/>
          <w:sz w:val="28"/>
          <w:szCs w:val="28"/>
        </w:rPr>
        <w:t>: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отчет о расходовании иных межбюджетных трансфертов - ежеквартально, не позднее 5-го числа месяца, следующего за отчетным, по форме, предусмотренной в соглашении;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иных межбюджетных трансфертов - ежеквартально, не позднее 5-го числа месяца, следующего за отчетным, по форме, предусмотренной в соглашении;</w:t>
      </w:r>
    </w:p>
    <w:p w:rsidR="00211F95" w:rsidRPr="00211F95" w:rsidRDefault="00226227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27">
        <w:rPr>
          <w:rFonts w:ascii="Times New Roman" w:hAnsi="Times New Roman" w:cs="Times New Roman"/>
          <w:sz w:val="28"/>
          <w:szCs w:val="28"/>
        </w:rPr>
        <w:t>отчеты о расходовании иных межбюджетных трансфертов и достижении значения результата предоставления иных межбюджетных трансфертов, установленного в соглашении, - ежегодно, не позднее 15 января года, следующего за отчетным, по формам, установленным соглашением.</w:t>
      </w:r>
    </w:p>
    <w:p w:rsidR="00226227" w:rsidRDefault="00226227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2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622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иных межбюджетных трансфертов является </w:t>
      </w:r>
      <w:r w:rsidR="00B20777">
        <w:rPr>
          <w:rFonts w:ascii="Times New Roman" w:hAnsi="Times New Roman" w:cs="Times New Roman"/>
          <w:sz w:val="28"/>
          <w:szCs w:val="28"/>
        </w:rPr>
        <w:t>количество</w:t>
      </w:r>
      <w:r w:rsidRPr="00943BA7">
        <w:rPr>
          <w:rFonts w:ascii="Times New Roman" w:hAnsi="Times New Roman" w:cs="Times New Roman"/>
          <w:sz w:val="28"/>
          <w:szCs w:val="28"/>
        </w:rPr>
        <w:t xml:space="preserve"> </w:t>
      </w:r>
      <w:r w:rsidR="005F48EF" w:rsidRPr="00943BA7">
        <w:rPr>
          <w:rFonts w:ascii="Times New Roman" w:hAnsi="Times New Roman" w:cs="Times New Roman"/>
          <w:sz w:val="28"/>
          <w:szCs w:val="28"/>
        </w:rPr>
        <w:t>советников</w:t>
      </w:r>
      <w:r w:rsidR="00B20777">
        <w:rPr>
          <w:rFonts w:ascii="Times New Roman" w:hAnsi="Times New Roman" w:cs="Times New Roman"/>
          <w:sz w:val="28"/>
          <w:szCs w:val="28"/>
        </w:rPr>
        <w:t>.</w:t>
      </w:r>
      <w:r w:rsidR="005F48EF" w:rsidRPr="00943BA7">
        <w:rPr>
          <w:rFonts w:ascii="Times New Roman" w:hAnsi="Times New Roman" w:cs="Times New Roman"/>
          <w:sz w:val="28"/>
          <w:szCs w:val="28"/>
        </w:rPr>
        <w:t xml:space="preserve"> </w:t>
      </w:r>
      <w:r w:rsidR="00B20777" w:rsidRPr="00B20777">
        <w:rPr>
          <w:rFonts w:ascii="Times New Roman" w:hAnsi="Times New Roman" w:cs="Times New Roman"/>
          <w:sz w:val="28"/>
          <w:szCs w:val="28"/>
        </w:rPr>
        <w:t>Значение результата использования иного межбюджетного трансферта устанавливается соглашением.</w:t>
      </w:r>
    </w:p>
    <w:p w:rsidR="00943BA7" w:rsidRPr="00943BA7" w:rsidRDefault="00943BA7" w:rsidP="00943B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A7">
        <w:rPr>
          <w:rFonts w:ascii="Times New Roman" w:hAnsi="Times New Roman" w:cs="Times New Roman"/>
          <w:sz w:val="28"/>
          <w:szCs w:val="28"/>
        </w:rPr>
        <w:t>11. </w:t>
      </w:r>
      <w:r w:rsidRPr="00943BA7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943BA7">
        <w:rPr>
          <w:rFonts w:ascii="Times New Roman" w:hAnsi="Times New Roman" w:cs="Times New Roman"/>
          <w:sz w:val="28"/>
          <w:szCs w:val="28"/>
        </w:rPr>
        <w:t>иных межбюджетных трансфертов i-</w:t>
      </w:r>
      <w:proofErr w:type="spellStart"/>
      <w:r w:rsidRPr="00943BA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43BA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Новосибирской области (T1i) определяется по формуле</w:t>
      </w:r>
      <w:r w:rsidRPr="00943BA7">
        <w:rPr>
          <w:rFonts w:ascii="Times New Roman" w:hAnsi="Times New Roman" w:cs="Times New Roman"/>
          <w:sz w:val="28"/>
          <w:szCs w:val="28"/>
        </w:rPr>
        <w:t>:</w:t>
      </w:r>
    </w:p>
    <w:p w:rsidR="00943BA7" w:rsidRPr="00D6380A" w:rsidRDefault="00943BA7" w:rsidP="00D6380A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943BA7" w:rsidRPr="00D6380A" w:rsidRDefault="00943BA7" w:rsidP="00943B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D6380A">
        <w:rPr>
          <w:rFonts w:ascii="Times New Roman" w:hAnsi="Times New Roman" w:cs="Times New Roman"/>
          <w:sz w:val="28"/>
          <w:szCs w:val="24"/>
          <w:lang w:val="en-US"/>
        </w:rPr>
        <w:t>T</w:t>
      </w:r>
      <w:r w:rsidRPr="00D6380A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1i</w:t>
      </w:r>
      <w:r w:rsidRPr="00D6380A">
        <w:rPr>
          <w:rFonts w:ascii="Times New Roman" w:hAnsi="Times New Roman" w:cs="Times New Roman"/>
          <w:sz w:val="28"/>
          <w:szCs w:val="24"/>
          <w:lang w:val="en-US"/>
        </w:rPr>
        <w:t xml:space="preserve"> = T</w:t>
      </w:r>
      <w:proofErr w:type="spellStart"/>
      <w:r w:rsidRPr="00D6380A">
        <w:rPr>
          <w:rFonts w:ascii="Times New Roman" w:hAnsi="Times New Roman" w:cs="Times New Roman"/>
          <w:sz w:val="28"/>
          <w:szCs w:val="24"/>
          <w:vertAlign w:val="subscript"/>
        </w:rPr>
        <w:t>кр</w:t>
      </w:r>
      <w:proofErr w:type="spellEnd"/>
      <w:r w:rsidRPr="00D6380A">
        <w:rPr>
          <w:rFonts w:ascii="Times New Roman" w:hAnsi="Times New Roman" w:cs="Times New Roman"/>
          <w:sz w:val="28"/>
          <w:szCs w:val="24"/>
          <w:lang w:val="en-US"/>
        </w:rPr>
        <w:t xml:space="preserve"> x </w:t>
      </w:r>
      <w:proofErr w:type="spellStart"/>
      <w:r w:rsidRPr="00D6380A">
        <w:rPr>
          <w:rFonts w:ascii="Times New Roman" w:hAnsi="Times New Roman" w:cs="Times New Roman"/>
          <w:sz w:val="28"/>
          <w:szCs w:val="24"/>
        </w:rPr>
        <w:t>Р</w:t>
      </w:r>
      <w:r w:rsidRPr="00D6380A">
        <w:rPr>
          <w:rFonts w:ascii="Times New Roman" w:hAnsi="Times New Roman" w:cs="Times New Roman"/>
          <w:sz w:val="28"/>
          <w:szCs w:val="24"/>
          <w:vertAlign w:val="subscript"/>
        </w:rPr>
        <w:t>к</w:t>
      </w:r>
      <w:proofErr w:type="spellEnd"/>
      <w:r w:rsidRPr="00D6380A">
        <w:rPr>
          <w:rFonts w:ascii="Times New Roman" w:hAnsi="Times New Roman" w:cs="Times New Roman"/>
          <w:sz w:val="28"/>
          <w:szCs w:val="24"/>
          <w:lang w:val="en-US"/>
        </w:rPr>
        <w:t xml:space="preserve"> x H</w:t>
      </w:r>
      <w:r w:rsidRPr="00D6380A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1i</w:t>
      </w:r>
      <w:r w:rsidRPr="00D6380A">
        <w:rPr>
          <w:rFonts w:ascii="Times New Roman" w:hAnsi="Times New Roman" w:cs="Times New Roman"/>
          <w:sz w:val="28"/>
          <w:szCs w:val="24"/>
          <w:lang w:val="en-US"/>
        </w:rPr>
        <w:t xml:space="preserve"> x N</w:t>
      </w:r>
      <w:r w:rsidRPr="00D6380A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m</w:t>
      </w:r>
      <w:r w:rsidRPr="00D6380A">
        <w:rPr>
          <w:rFonts w:ascii="Times New Roman" w:hAnsi="Times New Roman" w:cs="Times New Roman"/>
          <w:sz w:val="28"/>
          <w:szCs w:val="24"/>
          <w:lang w:val="en-US"/>
        </w:rPr>
        <w:t xml:space="preserve"> x S</w:t>
      </w:r>
      <w:proofErr w:type="spellStart"/>
      <w:r w:rsidRPr="00D6380A">
        <w:rPr>
          <w:rFonts w:ascii="Times New Roman" w:hAnsi="Times New Roman" w:cs="Times New Roman"/>
          <w:sz w:val="28"/>
          <w:szCs w:val="24"/>
          <w:vertAlign w:val="subscript"/>
        </w:rPr>
        <w:t>взн</w:t>
      </w:r>
      <w:proofErr w:type="spellEnd"/>
      <w:r w:rsidRPr="00D6380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D6380A">
        <w:rPr>
          <w:rFonts w:ascii="Times New Roman" w:hAnsi="Times New Roman" w:cs="Times New Roman"/>
          <w:sz w:val="28"/>
          <w:szCs w:val="24"/>
        </w:rPr>
        <w:t>где</w:t>
      </w:r>
      <w:r w:rsidRPr="00D6380A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:rsidR="00943BA7" w:rsidRPr="00943BA7" w:rsidRDefault="00943BA7" w:rsidP="00D63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3BA7" w:rsidRPr="00D6380A" w:rsidRDefault="00943BA7" w:rsidP="00943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380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6380A" w:rsidRPr="00D6380A">
        <w:rPr>
          <w:rFonts w:ascii="Times New Roman" w:hAnsi="Times New Roman" w:cs="Times New Roman"/>
          <w:sz w:val="28"/>
          <w:szCs w:val="28"/>
        </w:rPr>
        <w:t>среднемесячной</w:t>
      </w:r>
      <w:r w:rsidRPr="00D6380A">
        <w:rPr>
          <w:rFonts w:ascii="Times New Roman" w:hAnsi="Times New Roman" w:cs="Times New Roman"/>
          <w:sz w:val="28"/>
          <w:szCs w:val="28"/>
        </w:rPr>
        <w:t xml:space="preserve"> начисленн</w:t>
      </w:r>
      <w:r w:rsidR="00D6380A" w:rsidRPr="00D6380A">
        <w:rPr>
          <w:rFonts w:ascii="Times New Roman" w:hAnsi="Times New Roman" w:cs="Times New Roman"/>
          <w:sz w:val="28"/>
          <w:szCs w:val="28"/>
        </w:rPr>
        <w:t>ой</w:t>
      </w:r>
      <w:r w:rsidRPr="00D6380A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D6380A" w:rsidRPr="00D6380A">
        <w:rPr>
          <w:rFonts w:ascii="Times New Roman" w:hAnsi="Times New Roman" w:cs="Times New Roman"/>
          <w:sz w:val="28"/>
          <w:szCs w:val="28"/>
        </w:rPr>
        <w:t>ой платы,</w:t>
      </w:r>
      <w:r w:rsidRPr="00D6380A">
        <w:rPr>
          <w:rFonts w:ascii="Times New Roman" w:hAnsi="Times New Roman" w:cs="Times New Roman"/>
          <w:sz w:val="28"/>
          <w:szCs w:val="28"/>
        </w:rPr>
        <w:t xml:space="preserve"> </w:t>
      </w:r>
      <w:r w:rsidR="00D6380A" w:rsidRPr="00D6380A">
        <w:rPr>
          <w:rFonts w:ascii="Times New Roman" w:hAnsi="Times New Roman" w:cs="Times New Roman"/>
          <w:sz w:val="28"/>
          <w:szCs w:val="28"/>
        </w:rPr>
        <w:t>ежегодно определяемы</w:t>
      </w:r>
      <w:r w:rsidR="00D6380A">
        <w:rPr>
          <w:rFonts w:ascii="Times New Roman" w:hAnsi="Times New Roman" w:cs="Times New Roman"/>
          <w:sz w:val="28"/>
          <w:szCs w:val="28"/>
        </w:rPr>
        <w:t>й</w:t>
      </w:r>
      <w:r w:rsidR="00D6380A" w:rsidRPr="00D6380A">
        <w:rPr>
          <w:rFonts w:ascii="Times New Roman" w:hAnsi="Times New Roman" w:cs="Times New Roman"/>
          <w:sz w:val="28"/>
          <w:szCs w:val="28"/>
        </w:rPr>
        <w:t xml:space="preserve"> Министерством просвещения Российской Федерации</w:t>
      </w:r>
      <w:r w:rsidRPr="00D6380A">
        <w:rPr>
          <w:rFonts w:ascii="Times New Roman" w:hAnsi="Times New Roman" w:cs="Times New Roman"/>
          <w:sz w:val="28"/>
          <w:szCs w:val="28"/>
        </w:rPr>
        <w:t>;</w:t>
      </w:r>
    </w:p>
    <w:p w:rsidR="00943BA7" w:rsidRDefault="00943BA7" w:rsidP="00943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районный коэффициент;</w:t>
      </w:r>
    </w:p>
    <w:p w:rsidR="00943BA7" w:rsidRDefault="00943BA7" w:rsidP="00943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>
        <w:rPr>
          <w:rFonts w:ascii="Times New Roman" w:hAnsi="Times New Roman" w:cs="Times New Roman"/>
          <w:sz w:val="28"/>
          <w:szCs w:val="28"/>
        </w:rPr>
        <w:t xml:space="preserve"> - заявленн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i-м муниципальным образованием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5F48EF">
        <w:rPr>
          <w:rFonts w:ascii="Times New Roman" w:hAnsi="Times New Roman" w:cs="Times New Roman"/>
          <w:sz w:val="28"/>
          <w:szCs w:val="28"/>
        </w:rPr>
        <w:t>советников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BA7" w:rsidRDefault="00943BA7" w:rsidP="00943B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943BA7" w:rsidRDefault="00943BA7" w:rsidP="00943B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страховые взносы в государственные внебюджетные фонды.</w:t>
      </w:r>
    </w:p>
    <w:p w:rsidR="00211F95" w:rsidRPr="00211F95" w:rsidRDefault="00943BA7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211F95" w:rsidRPr="00211F95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иных межбюджетных трансфертов осуществляется министерством на основании сравнения достигнутого значения результата предоставления иных межбюджетных трансфертов органом местного самоуправления и установленного соглашением значения такого результата, как </w:t>
      </w:r>
      <w:r w:rsidR="00B20777">
        <w:rPr>
          <w:rFonts w:ascii="Times New Roman" w:hAnsi="Times New Roman" w:cs="Times New Roman"/>
          <w:sz w:val="28"/>
          <w:szCs w:val="28"/>
        </w:rPr>
        <w:t>количество советников</w:t>
      </w:r>
      <w:r w:rsidR="00211F95" w:rsidRPr="00B20777">
        <w:rPr>
          <w:rFonts w:ascii="Times New Roman" w:hAnsi="Times New Roman" w:cs="Times New Roman"/>
          <w:sz w:val="28"/>
          <w:szCs w:val="28"/>
        </w:rPr>
        <w:t>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13.</w:t>
      </w:r>
      <w:r w:rsidR="00226227"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обязательную проверку соблюдения настоящей Методики органами местного самоуправления.</w:t>
      </w:r>
    </w:p>
    <w:p w:rsidR="00F87D57" w:rsidRDefault="00F87D57" w:rsidP="00F87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Новос</w:t>
      </w:r>
      <w:r>
        <w:rPr>
          <w:rFonts w:ascii="Times New Roman" w:hAnsi="Times New Roman" w:cs="Times New Roman"/>
          <w:sz w:val="28"/>
          <w:szCs w:val="28"/>
        </w:rPr>
        <w:t>ибирской области по 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31 декабря года предоставления иных межбюджетных трансфертов допущено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иных межбюджетных трансфертов, установленного соглашением, размер средств, подлежащих возврату из местного бюджета в областной бюджет Новосибирской области до 1 апреля года, следующего за годом предоставления иных межбюджетных трансфертов (Т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F87D57" w:rsidRDefault="00F87D57" w:rsidP="00F87D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7D57" w:rsidRPr="00F87D57" w:rsidRDefault="00F87D57" w:rsidP="00F87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7D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7D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 = T</w:t>
      </w:r>
      <w:r w:rsidRPr="00F87D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 - (T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 x H</w:t>
      </w:r>
      <w:r w:rsidRPr="00F87D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 x N</w:t>
      </w:r>
      <w:r w:rsidRPr="00F87D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 x 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взн</w:t>
      </w:r>
      <w:proofErr w:type="spellEnd"/>
      <w:r w:rsidRPr="00F87D5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F87D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87D57" w:rsidRPr="00F87D57" w:rsidRDefault="00F87D57" w:rsidP="00F87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7D57" w:rsidRDefault="00F87D57" w:rsidP="00F87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>
        <w:rPr>
          <w:rFonts w:ascii="Times New Roman" w:hAnsi="Times New Roman" w:cs="Times New Roman"/>
          <w:sz w:val="28"/>
          <w:szCs w:val="28"/>
        </w:rPr>
        <w:t xml:space="preserve"> - фактическая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советников </w:t>
      </w:r>
      <w:r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15.</w:t>
      </w:r>
      <w:r w:rsidR="00226227"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В случае нецелевого использования иного межбюджетного трансферта органом местного самоуправления к нему применяются бюджетные меры принуждения, предусмотренные бюджетным законодательством Российской Федерации.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16.</w:t>
      </w:r>
      <w:r w:rsidR="00226227"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министерство информации и документов, предусмотренных настоящей Методикой, возлагается на органы местного самоуправления муниципальных образований.</w:t>
      </w:r>
    </w:p>
    <w:p w:rsidR="00211F95" w:rsidRPr="00211F95" w:rsidRDefault="00211F95" w:rsidP="0021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95">
        <w:rPr>
          <w:rFonts w:ascii="Times New Roman" w:hAnsi="Times New Roman" w:cs="Times New Roman"/>
          <w:sz w:val="28"/>
          <w:szCs w:val="28"/>
        </w:rPr>
        <w:t>17.</w:t>
      </w:r>
      <w:r w:rsidR="00226227">
        <w:rPr>
          <w:rFonts w:ascii="Times New Roman" w:hAnsi="Times New Roman" w:cs="Times New Roman"/>
          <w:sz w:val="28"/>
          <w:szCs w:val="28"/>
        </w:rPr>
        <w:t> </w:t>
      </w:r>
      <w:r w:rsidRPr="00211F95">
        <w:rPr>
          <w:rFonts w:ascii="Times New Roman" w:hAnsi="Times New Roman" w:cs="Times New Roman"/>
          <w:sz w:val="28"/>
          <w:szCs w:val="28"/>
        </w:rPr>
        <w:t>Контроль за целевым использованием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E74A15" w:rsidRDefault="00E74A15" w:rsidP="00211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6227" w:rsidRDefault="00226227" w:rsidP="00211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6227" w:rsidRDefault="00226227" w:rsidP="00211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6227" w:rsidRPr="00C73AD6" w:rsidRDefault="00C73AD6" w:rsidP="00226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C73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26227" w:rsidRPr="00C73AD6" w:rsidSect="00D6380A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5"/>
    <w:rsid w:val="00211F95"/>
    <w:rsid w:val="00223ACA"/>
    <w:rsid w:val="00226227"/>
    <w:rsid w:val="002D1231"/>
    <w:rsid w:val="005F48EF"/>
    <w:rsid w:val="00943BA7"/>
    <w:rsid w:val="00A73161"/>
    <w:rsid w:val="00B20777"/>
    <w:rsid w:val="00C2224A"/>
    <w:rsid w:val="00C73AD6"/>
    <w:rsid w:val="00CC2DD7"/>
    <w:rsid w:val="00D6380A"/>
    <w:rsid w:val="00E74A15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454B"/>
  <w15:chartTrackingRefBased/>
  <w15:docId w15:val="{B56DC81B-FD46-451A-89B2-B9D2574A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Heading1Char">
    <w:name w:val="Heading 1 Char"/>
    <w:basedOn w:val="a0"/>
    <w:uiPriority w:val="9"/>
    <w:rsid w:val="00C73AD6"/>
    <w:rPr>
      <w:rFonts w:ascii="Arial" w:eastAsia="Arial" w:hAnsi="Arial" w:cs="Arial"/>
      <w:sz w:val="40"/>
      <w:szCs w:val="40"/>
    </w:rPr>
  </w:style>
  <w:style w:type="character" w:styleId="a3">
    <w:name w:val="page number"/>
    <w:basedOn w:val="a0"/>
    <w:qFormat/>
    <w:rsid w:val="0094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Шварцкопп Валентин Валерьевич</dc:creator>
  <cp:keywords/>
  <dc:description/>
  <cp:lastModifiedBy>Шварцкопп Валентин Валерьевич</cp:lastModifiedBy>
  <cp:revision>4</cp:revision>
  <dcterms:created xsi:type="dcterms:W3CDTF">2024-04-03T02:29:00Z</dcterms:created>
  <dcterms:modified xsi:type="dcterms:W3CDTF">2024-05-30T01:36:00Z</dcterms:modified>
</cp:coreProperties>
</file>