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40" w:type="dxa"/>
        <w:tblInd w:w="49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8"/>
        <w:gridCol w:w="4111"/>
        <w:gridCol w:w="411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0"/>
              </w:rPr>
              <w:br w:type="page" w:clear="all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62"/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УТВЕРЖДЕН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  <w:p>
            <w:pPr>
              <w:pStyle w:val="862"/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62"/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здравоохранения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62"/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62"/>
              <w:ind w:left="-108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________ № _________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pStyle w:val="862"/>
              <w:ind w:left="88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62"/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</w:tbl>
    <w:p>
      <w:pPr>
        <w:pStyle w:val="86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организации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лекарственными препаратами для медицинского применения в амбулатор</w:t>
      </w:r>
      <w:r>
        <w:rPr>
          <w:b/>
          <w:bCs/>
          <w:sz w:val="28"/>
          <w:szCs w:val="28"/>
        </w:rPr>
        <w:t xml:space="preserve">ных условиях лиц, находящихся под диспансерным наблюдением,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</w:t>
      </w:r>
      <w:r>
        <w:rPr>
          <w:b/>
          <w:bCs/>
          <w:sz w:val="28"/>
          <w:szCs w:val="28"/>
        </w:rPr>
        <w:t xml:space="preserve">2 месяцев значением фракции выброса левого желудочка </w:t>
      </w:r>
      <w:r>
        <w:rPr>
          <w:b/>
          <w:bCs/>
          <w:sz w:val="28"/>
          <w:szCs w:val="28"/>
          <w:u w:val="single"/>
          <w:lang w:val="en-US"/>
        </w:rPr>
        <w:t xml:space="preserve">&lt;</w:t>
      </w:r>
      <w:r>
        <w:rPr>
          <w:b/>
          <w:bCs/>
          <w:sz w:val="28"/>
          <w:szCs w:val="28"/>
        </w:rPr>
        <w:t xml:space="preserve"> 40%, а также которым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</w:t>
      </w:r>
      <w:r>
        <w:rPr>
          <w:b/>
          <w:bCs/>
          <w:sz w:val="28"/>
          <w:szCs w:val="28"/>
        </w:rPr>
        <w:t xml:space="preserve">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bCs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реализации </w:t>
      </w:r>
      <w:r>
        <w:rPr>
          <w:sz w:val="28"/>
          <w:szCs w:val="28"/>
          <w:highlight w:val="none"/>
        </w:rPr>
        <w:t xml:space="preserve">регионального проекта «Борьба с сердечно-сосудистыми заболеваниями» государственной программы «Развитие здравоохранения Новосибирской области»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утвержденной постановлением Правительства Новоси</w:t>
      </w:r>
      <w:r>
        <w:rPr>
          <w:bCs/>
          <w:sz w:val="28"/>
          <w:szCs w:val="28"/>
        </w:rPr>
        <w:t xml:space="preserve">бирской области от 0</w:t>
      </w:r>
      <w:r>
        <w:rPr>
          <w:bCs/>
          <w:sz w:val="28"/>
          <w:szCs w:val="28"/>
        </w:rPr>
        <w:t xml:space="preserve">7.05.2013 № </w:t>
      </w:r>
      <w:r>
        <w:rPr>
          <w:bCs/>
          <w:sz w:val="28"/>
          <w:szCs w:val="28"/>
        </w:rPr>
        <w:t xml:space="preserve">199</w:t>
      </w:r>
      <w:r>
        <w:rPr>
          <w:bCs/>
          <w:sz w:val="28"/>
          <w:szCs w:val="28"/>
        </w:rPr>
        <w:t xml:space="preserve">-п, (далее – мероприятие 2.5.2) </w:t>
      </w:r>
      <w:r>
        <w:rPr>
          <w:sz w:val="28"/>
          <w:szCs w:val="28"/>
          <w:highlight w:val="none"/>
        </w:rPr>
        <w:t xml:space="preserve">настоящий </w:t>
      </w:r>
      <w:r>
        <w:rPr>
          <w:sz w:val="28"/>
          <w:szCs w:val="28"/>
          <w:highlight w:val="none"/>
        </w:rPr>
        <w:t xml:space="preserve">Алгоритм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устанавливает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порядок </w:t>
      </w:r>
      <w:r>
        <w:rPr>
          <w:sz w:val="28"/>
          <w:szCs w:val="28"/>
          <w:highlight w:val="none"/>
        </w:rPr>
        <w:t xml:space="preserve">организации</w:t>
      </w:r>
      <w:r>
        <w:rPr>
          <w:sz w:val="28"/>
          <w:szCs w:val="28"/>
          <w:highlight w:val="none"/>
        </w:rPr>
        <w:t xml:space="preserve"> обеспечения</w:t>
      </w:r>
      <w:r>
        <w:rPr>
          <w:sz w:val="28"/>
          <w:szCs w:val="28"/>
          <w:highlight w:val="none"/>
        </w:rPr>
        <w:t xml:space="preserve"> лекарственными препаратами для медицинского применения </w:t>
      </w:r>
      <w:r>
        <w:rPr>
          <w:sz w:val="28"/>
          <w:szCs w:val="28"/>
          <w:highlight w:val="none"/>
        </w:rPr>
        <w:t xml:space="preserve">(далее – лекарственные препараты) </w:t>
      </w:r>
      <w:r>
        <w:rPr>
          <w:sz w:val="28"/>
          <w:szCs w:val="28"/>
          <w:highlight w:val="none"/>
        </w:rPr>
        <w:t xml:space="preserve">в амбулаторных условиях: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 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ангиопластика коронарных артерий со стентированием и катетерная абляция </w:t>
      </w:r>
      <w:r>
        <w:rPr>
          <w:sz w:val="28"/>
          <w:szCs w:val="28"/>
          <w:highlight w:val="none"/>
        </w:rPr>
        <w:t xml:space="preserve">по поводу сердечно-сосудистых заболеваний (далее – пациенты), за исключением лиц, указанных в пункте 3 настоящего Алгоритма,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в течение 2 лет с даты постановки диагноза и (или) выполнения хирургического вмешательства;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) лиц, находящихся под диспансерным наблюдением,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</w:t>
      </w:r>
      <w:r>
        <w:rPr>
          <w:sz w:val="28"/>
          <w:szCs w:val="28"/>
          <w:highlight w:val="none"/>
        </w:rPr>
        <w:t xml:space="preserve">ыброса левого желудочка </w:t>
      </w:r>
      <w:r>
        <w:rPr>
          <w:b/>
          <w:bCs/>
          <w:sz w:val="28"/>
          <w:szCs w:val="28"/>
          <w:u w:val="single"/>
          <w:lang w:val="en-US"/>
        </w:rPr>
        <w:t xml:space="preserve">&lt;</w:t>
      </w:r>
      <w:r>
        <w:rPr>
          <w:sz w:val="28"/>
          <w:szCs w:val="28"/>
          <w:highlight w:val="none"/>
        </w:rPr>
        <w:t xml:space="preserve"> 40% (далее – пациент), за исключением лиц, указанных в пункте 3 настоящего Алгоритма.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8"/>
          <w:highlight w:val="none"/>
          <w:lang w:val="ru-RU"/>
          <w14:ligatures w14:val="none"/>
        </w:rPr>
        <w:t xml:space="preserve">2. </w:t>
      </w:r>
      <w:r>
        <w:rPr>
          <w:bCs/>
          <w:sz w:val="28"/>
          <w:szCs w:val="28"/>
        </w:rPr>
        <w:t xml:space="preserve">Обеспечение пациентов лекарственными препаратами осуществляется в соответствии с </w:t>
      </w:r>
      <w:r>
        <w:rPr>
          <w:bCs/>
          <w:sz w:val="28"/>
          <w:szCs w:val="28"/>
        </w:rPr>
        <w:t xml:space="preserve">Перечнем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страдающих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40%, а также которым выполнены аорток</w:t>
      </w:r>
      <w:r>
        <w:rPr>
          <w:bCs/>
          <w:sz w:val="28"/>
          <w:szCs w:val="28"/>
        </w:rPr>
        <w:t xml:space="preserve">ор</w:t>
      </w:r>
      <w:r>
        <w:rPr>
          <w:sz w:val="28"/>
          <w:szCs w:val="28"/>
        </w:rPr>
        <w:t xml:space="preserve">онарное шунтирование, ангиопластика коронарных артерий со стентированием и катетерная абляция по поводу сердечно-сосудистых заболеваний</w:t>
      </w:r>
      <w:r>
        <w:rPr>
          <w:sz w:val="28"/>
          <w:szCs w:val="28"/>
        </w:rPr>
        <w:t xml:space="preserve">, утвержденным приказом Министерства здравоохранения Российской Федерации </w:t>
      </w:r>
      <w:r>
        <w:rPr>
          <w:sz w:val="28"/>
          <w:szCs w:val="28"/>
        </w:rPr>
        <w:t xml:space="preserve">от 29.09.2022 № </w:t>
      </w:r>
      <w:r>
        <w:rPr>
          <w:sz w:val="28"/>
          <w:szCs w:val="28"/>
        </w:rPr>
        <w:t xml:space="preserve">639н «О</w:t>
      </w:r>
      <w:r>
        <w:rPr>
          <w:sz w:val="28"/>
          <w:szCs w:val="28"/>
        </w:rPr>
        <w:t xml:space="preserve">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</w:t>
      </w:r>
      <w:r>
        <w:rPr>
          <w:bCs/>
          <w:sz w:val="28"/>
          <w:szCs w:val="28"/>
          <w:highlight w:val="none"/>
        </w:rPr>
        <w:t xml:space="preserve"> нарушение мозгового кровообращения, инфаркт миокарда, а также кот</w:t>
      </w:r>
      <w:r>
        <w:rPr>
          <w:bCs/>
          <w:sz w:val="28"/>
          <w:szCs w:val="28"/>
          <w:highlight w:val="none"/>
        </w:rPr>
        <w:t xml:space="preserve">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в течение 2 лет с даты постановки диагноза и (или) выполнения хирургического вмешательства»</w:t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pStyle w:val="862"/>
        <w:ind w:firstLine="709"/>
        <w:jc w:val="both"/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Алгоритмом</w:t>
      </w:r>
      <w:r>
        <w:rPr>
          <w:bCs/>
          <w:sz w:val="28"/>
          <w:szCs w:val="28"/>
        </w:rPr>
        <w:t xml:space="preserve"> не предусмотрено обеспечение </w:t>
      </w:r>
      <w:r>
        <w:rPr>
          <w:bCs/>
          <w:sz w:val="28"/>
          <w:szCs w:val="28"/>
        </w:rPr>
        <w:t xml:space="preserve">пациентов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которые </w:t>
      </w:r>
      <w:r>
        <w:rPr>
          <w:bCs/>
          <w:sz w:val="28"/>
          <w:szCs w:val="28"/>
        </w:rPr>
        <w:t xml:space="preserve">состоят в Федеральном регистре лиц, имеющих право на государственную социальную помощь в виде набора социальных услуг, в части об</w:t>
      </w:r>
      <w:r>
        <w:rPr>
          <w:bCs/>
          <w:sz w:val="28"/>
          <w:szCs w:val="28"/>
        </w:rPr>
        <w:t xml:space="preserve">еспечения лекарственными препаратами, в соответствии с Федеральным законом от 17.07.1999 № 178-ФЗ «О государственной социальной помощи», в том числе, отказавшихся от получения набора социальных услуг, в части обеспечения лекарственными препаратами.</w:t>
      </w:r>
      <w:r>
        <w:rPr>
          <w:bCs/>
          <w:sz w:val="28"/>
          <w:szCs w:val="28"/>
        </w:rPr>
      </w:r>
      <w:r/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При поступлении информации о перенесенном событии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использованием любых средств (</w:t>
      </w:r>
      <w:r>
        <w:rPr>
          <w:bCs/>
          <w:sz w:val="28"/>
          <w:szCs w:val="28"/>
        </w:rPr>
        <w:t xml:space="preserve">Медицинская информационная система Новосибир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кой области</w:t>
      </w:r>
      <w:r>
        <w:rPr>
          <w:bCs/>
          <w:sz w:val="28"/>
          <w:szCs w:val="28"/>
        </w:rPr>
        <w:t xml:space="preserve">, портал ЕПГУ, номер «122» и пр.),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врачу-терапевту участковому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фельдшер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, акушерк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медицинской организации в случае возложения на них полномочий лечащего врача в порядке, установленном приказом Министерства здравоохранения и социального развития Росси</w:t>
      </w:r>
      <w:r>
        <w:rPr>
          <w:bCs/>
          <w:sz w:val="28"/>
          <w:szCs w:val="28"/>
        </w:rPr>
        <w:t xml:space="preserve">йской Федерации от 23.03.2012 № </w:t>
      </w:r>
      <w:r>
        <w:rPr>
          <w:bCs/>
          <w:sz w:val="28"/>
          <w:szCs w:val="28"/>
        </w:rPr>
        <w:t xml:space="preserve">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</w:t>
      </w:r>
      <w:r>
        <w:rPr>
          <w:bCs/>
          <w:sz w:val="28"/>
          <w:szCs w:val="28"/>
        </w:rPr>
        <w:t xml:space="preserve">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</w:t>
      </w:r>
      <w:r>
        <w:rPr>
          <w:bCs/>
          <w:sz w:val="28"/>
          <w:szCs w:val="28"/>
        </w:rPr>
        <w:t xml:space="preserve"> (далее – медицинский работник) </w:t>
      </w:r>
      <w:r>
        <w:rPr>
          <w:bCs/>
          <w:sz w:val="28"/>
          <w:szCs w:val="28"/>
        </w:rPr>
        <w:t xml:space="preserve">необходимо провести очный осмотр пациента с постановкой</w:t>
      </w:r>
      <w:r>
        <w:rPr>
          <w:bCs/>
          <w:sz w:val="28"/>
          <w:szCs w:val="28"/>
        </w:rPr>
        <w:t xml:space="preserve"> его на диспансерное наблюдение</w:t>
      </w:r>
      <w:r>
        <w:rPr>
          <w:bCs/>
          <w:sz w:val="28"/>
          <w:szCs w:val="28"/>
        </w:rPr>
        <w:t xml:space="preserve"> в течение 3-х дней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 Медицинскому работнику</w:t>
      </w:r>
      <w:r>
        <w:rPr>
          <w:bCs/>
          <w:sz w:val="28"/>
          <w:szCs w:val="28"/>
        </w:rPr>
        <w:t xml:space="preserve"> при проведении диспансерного наблюдения необходимо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осуществлять внесение данных в</w:t>
      </w:r>
      <w:r>
        <w:t xml:space="preserve"> </w:t>
      </w:r>
      <w:r>
        <w:rPr>
          <w:bCs/>
          <w:sz w:val="28"/>
          <w:szCs w:val="28"/>
        </w:rPr>
        <w:t xml:space="preserve">учетную</w:t>
      </w:r>
      <w:r>
        <w:rPr>
          <w:bCs/>
          <w:sz w:val="28"/>
          <w:szCs w:val="28"/>
        </w:rPr>
        <w:t xml:space="preserve"> форм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№ 030/у «Контрольная карта диспансерного наблюдения», утвержденной приказом Мини</w:t>
      </w:r>
      <w:r>
        <w:rPr>
          <w:bCs/>
          <w:sz w:val="28"/>
          <w:szCs w:val="28"/>
        </w:rPr>
        <w:t xml:space="preserve">стерства здравоохранения Российской Федерации от 15.12.2014 №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</w:t>
      </w:r>
      <w:r>
        <w:rPr>
          <w:bCs/>
          <w:sz w:val="28"/>
          <w:szCs w:val="28"/>
        </w:rPr>
        <w:t xml:space="preserve">с присвоением соответствующего кода категории заболевания на основании занесенного в медицинскую документацию диагноза, в том числе после перенесенного вмешательства, в соответствии с кодами МКБ-10, указ</w:t>
      </w:r>
      <w:r>
        <w:rPr>
          <w:bCs/>
          <w:sz w:val="28"/>
          <w:szCs w:val="28"/>
        </w:rPr>
        <w:t xml:space="preserve">анными в приложении к Алгоритму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Внесение сведений о пациентах в автоматизированную систему льготного лекарственного обеспечения</w:t>
      </w:r>
      <w:r>
        <w:rPr>
          <w:bCs/>
          <w:sz w:val="28"/>
          <w:szCs w:val="28"/>
        </w:rPr>
        <w:t xml:space="preserve"> (далее – АС ЛЛО) в рамках </w:t>
      </w:r>
      <w:r>
        <w:rPr>
          <w:bCs/>
          <w:sz w:val="28"/>
          <w:szCs w:val="28"/>
        </w:rPr>
        <w:t xml:space="preserve">реализации мероприятия </w:t>
      </w:r>
      <w:r>
        <w:rPr>
          <w:bCs/>
          <w:sz w:val="28"/>
          <w:szCs w:val="28"/>
        </w:rPr>
        <w:t xml:space="preserve">2.5.2 осуществляется </w:t>
      </w:r>
      <w:r>
        <w:rPr>
          <w:bCs/>
          <w:sz w:val="28"/>
          <w:szCs w:val="28"/>
        </w:rPr>
        <w:t xml:space="preserve">медицинским </w:t>
      </w:r>
      <w:r>
        <w:rPr>
          <w:bCs/>
          <w:sz w:val="28"/>
          <w:szCs w:val="28"/>
        </w:rPr>
        <w:t xml:space="preserve">работником с обязательной сверкой </w:t>
      </w:r>
      <w:r>
        <w:rPr>
          <w:bCs/>
          <w:sz w:val="28"/>
          <w:szCs w:val="28"/>
        </w:rPr>
        <w:t xml:space="preserve">персональных данных пациента в МИС НСО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 Обязательным ус</w:t>
      </w:r>
      <w:r>
        <w:rPr>
          <w:bCs/>
          <w:sz w:val="28"/>
          <w:szCs w:val="28"/>
        </w:rPr>
        <w:t xml:space="preserve">ловием внесения сведений о пациенте в АС ЛЛО в рамках реализации мероприятия 2.5.2 является факт нахождения пациента на диспансерном учете в медицинской организации, а также отсутствие гражданина в Федеральном регистре лиц, имеющих право на государственную</w:t>
      </w:r>
      <w:r>
        <w:rPr>
          <w:bCs/>
          <w:sz w:val="28"/>
          <w:szCs w:val="28"/>
        </w:rPr>
        <w:t xml:space="preserve"> социальную помощь в виде набора социальных услуг, в</w:t>
      </w:r>
      <w:r>
        <w:rPr>
          <w:bCs/>
          <w:sz w:val="28"/>
          <w:szCs w:val="28"/>
        </w:rPr>
        <w:t xml:space="preserve"> части обеспе</w:t>
      </w:r>
      <w:r>
        <w:rPr>
          <w:bCs/>
          <w:sz w:val="28"/>
          <w:szCs w:val="28"/>
        </w:rPr>
        <w:t xml:space="preserve">чения лекарственными препаратами, в соответствии с Федеральным законом от 17.07.1999 № 178-ФЗ «О государственной социальной помощи», в том числе гражданина, отказавшегося от получения набора социальных услуг, в части обеспечения лекарственными препаратами.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 Назначение пациентам лекарственных препаратов для медицинского применения в рамках реализации мероприятия 2.5.2. осуществляется </w:t>
      </w:r>
      <w:r>
        <w:rPr>
          <w:bCs/>
          <w:sz w:val="28"/>
          <w:szCs w:val="28"/>
        </w:rPr>
        <w:t xml:space="preserve">медицинским</w:t>
      </w:r>
      <w:r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Сведения о назначенном лекарственном препарате</w:t>
      </w:r>
      <w:r>
        <w:rPr>
          <w:bCs/>
          <w:sz w:val="28"/>
          <w:szCs w:val="28"/>
        </w:rPr>
        <w:t xml:space="preserve"> (наименование лекарственного препарата, дозировка, способ введения и применения, режим дозирования, продолжительность лечения и обоснование назначения лекарственного препарата) вносятся медицинским работником в медицинскую документацию пациента в МИС НСО.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 Оформление</w:t>
      </w:r>
      <w:r>
        <w:rPr>
          <w:bCs/>
          <w:sz w:val="28"/>
          <w:szCs w:val="28"/>
        </w:rPr>
        <w:t xml:space="preserve"> пациенту</w:t>
      </w:r>
      <w:r>
        <w:rPr>
          <w:bCs/>
          <w:sz w:val="28"/>
          <w:szCs w:val="28"/>
        </w:rPr>
        <w:t xml:space="preserve"> рецептов на лекарственные препараты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реализации мероприятия 2.5.2.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медицински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 xml:space="preserve">ом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АС ЛЛО </w:t>
      </w:r>
      <w:r>
        <w:rPr>
          <w:bCs/>
          <w:sz w:val="28"/>
          <w:szCs w:val="28"/>
        </w:rPr>
        <w:t xml:space="preserve">в день осмотра пациента.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При отсутствии назначенного </w:t>
      </w:r>
      <w:r>
        <w:rPr>
          <w:bCs/>
          <w:sz w:val="28"/>
          <w:szCs w:val="28"/>
        </w:rPr>
        <w:t xml:space="preserve">медицинским работником</w:t>
      </w:r>
      <w:r>
        <w:rPr>
          <w:bCs/>
          <w:sz w:val="28"/>
          <w:szCs w:val="28"/>
        </w:rPr>
        <w:t xml:space="preserve"> лекарственного препарата в аптечном пункте государственного казенного учреждения Новосибирской области «Новосибоблфарм» (далее – ГКУ НСО «Новосибоблфарм») </w:t>
      </w:r>
      <w:r>
        <w:rPr>
          <w:bCs/>
          <w:sz w:val="28"/>
          <w:szCs w:val="28"/>
        </w:rPr>
        <w:t xml:space="preserve">(закрепленным за медицинской организацией) ответственным лицом решается вопрос лекарственного обеспечения путем перенаправления пациента в другой пункт отпуска (в приближенной территориальной доступности от медицинской организации, направляющей пациента),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формирования заявки в АС ЛЛО на дополнительное обеспечение.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Ежеквартальные з</w:t>
      </w:r>
      <w:r>
        <w:rPr>
          <w:bCs/>
          <w:sz w:val="28"/>
          <w:szCs w:val="28"/>
        </w:rPr>
        <w:t xml:space="preserve">аявки </w:t>
      </w:r>
      <w:r>
        <w:rPr>
          <w:bCs/>
          <w:sz w:val="28"/>
          <w:szCs w:val="28"/>
        </w:rPr>
        <w:t xml:space="preserve">(далее – заявки) </w:t>
      </w:r>
      <w:r>
        <w:rPr>
          <w:bCs/>
          <w:sz w:val="28"/>
          <w:szCs w:val="28"/>
        </w:rPr>
        <w:t xml:space="preserve">на лекарственные препараты для обеспечения пациентов в рамках мероприятия 2.5.2 формируются медицинскими организациями в АС ЛЛО </w:t>
      </w:r>
      <w:r>
        <w:rPr>
          <w:bCs/>
          <w:sz w:val="28"/>
          <w:szCs w:val="28"/>
        </w:rPr>
        <w:t xml:space="preserve">в течение 5 дней с мо</w:t>
      </w:r>
      <w:r>
        <w:rPr>
          <w:bCs/>
          <w:sz w:val="28"/>
          <w:szCs w:val="28"/>
        </w:rPr>
        <w:t xml:space="preserve">мента создания министерством здравоохранения Новосибирской области шаблона заявки в АС ЛЛО.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Заявки</w:t>
      </w:r>
      <w:r>
        <w:rPr>
          <w:bCs/>
          <w:sz w:val="28"/>
          <w:szCs w:val="28"/>
        </w:rPr>
        <w:t xml:space="preserve"> формируются с учетом информации о потребности согласно назначенным схемам лечения, в соответствии со стандартами оказания медицинской помощи и клиническими рекомендациями в лекарственных препаратах, а также имеющихся остатков лекарственных препаратов для </w:t>
      </w:r>
      <w:r>
        <w:rPr>
          <w:bCs/>
          <w:sz w:val="28"/>
          <w:szCs w:val="28"/>
        </w:rPr>
        <w:t xml:space="preserve">медицинского применения</w:t>
      </w:r>
      <w:r>
        <w:rPr>
          <w:bCs/>
          <w:sz w:val="28"/>
          <w:szCs w:val="28"/>
        </w:rPr>
        <w:t xml:space="preserve"> в прикрепленных к медицинской организации аптечных пунктов ГКУ НСО «Новосибоблфарм».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Формирование сводной потребности осуществляется министерством здравоохранения Новосиби</w:t>
      </w:r>
      <w:r>
        <w:rPr>
          <w:bCs/>
          <w:sz w:val="28"/>
          <w:szCs w:val="28"/>
        </w:rPr>
        <w:t xml:space="preserve">рс</w:t>
      </w:r>
      <w:r>
        <w:rPr>
          <w:bCs/>
          <w:sz w:val="28"/>
          <w:szCs w:val="28"/>
        </w:rPr>
        <w:t xml:space="preserve">кой области в АС ЛЛО на основании заявок медицинских организаций.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</w:t>
      </w:r>
      <w:r>
        <w:rPr>
          <w:bCs/>
          <w:sz w:val="28"/>
          <w:szCs w:val="28"/>
        </w:rPr>
        <w:t xml:space="preserve">. Поступление лекарственных</w:t>
      </w:r>
      <w:r>
        <w:rPr>
          <w:bCs/>
          <w:sz w:val="28"/>
          <w:szCs w:val="28"/>
        </w:rPr>
        <w:t xml:space="preserve"> препаратов для </w:t>
      </w:r>
      <w:r>
        <w:rPr>
          <w:bCs/>
          <w:sz w:val="28"/>
          <w:szCs w:val="28"/>
        </w:rPr>
        <w:t xml:space="preserve">медицинского применения</w:t>
      </w:r>
      <w:r>
        <w:rPr>
          <w:bCs/>
          <w:sz w:val="28"/>
          <w:szCs w:val="28"/>
        </w:rPr>
        <w:t xml:space="preserve"> по заявкам медицинских организаций осуществляется ГКУ НСО «Новосибоблфарм» в прикрепленные </w:t>
      </w:r>
      <w:r>
        <w:rPr>
          <w:bCs/>
          <w:sz w:val="28"/>
          <w:szCs w:val="28"/>
        </w:rPr>
        <w:t xml:space="preserve">к медицинским организациям </w:t>
      </w:r>
      <w:r>
        <w:rPr>
          <w:bCs/>
          <w:sz w:val="28"/>
          <w:szCs w:val="28"/>
        </w:rPr>
        <w:t xml:space="preserve">аптечные пункты ГКУ НСО «Новосибоблфарм» ежемесячно до 20 числа текущего месяца.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 Ежеквартально ответственным лицом медицинской организации формируется отчет в АС ЛЛО «Движение препаратов в пунктах отпуска», при отсутствии потребности в лекарственных препаратах, находящихся на остатках, осуществляется их возврат на склад.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 </w:t>
      </w:r>
      <w:r>
        <w:rPr>
          <w:sz w:val="28"/>
          <w:szCs w:val="28"/>
        </w:rPr>
        <w:t xml:space="preserve">Закупка </w:t>
      </w:r>
      <w:r>
        <w:rPr>
          <w:sz w:val="28"/>
          <w:szCs w:val="28"/>
        </w:rPr>
        <w:t xml:space="preserve">лекарственных препаратов</w:t>
      </w:r>
      <w:r>
        <w:rPr>
          <w:sz w:val="28"/>
          <w:szCs w:val="28"/>
        </w:rPr>
        <w:t xml:space="preserve"> для </w:t>
      </w:r>
      <w:r>
        <w:rPr>
          <w:bCs/>
          <w:sz w:val="28"/>
          <w:szCs w:val="28"/>
        </w:rPr>
        <w:t xml:space="preserve">медицинского применения</w:t>
      </w:r>
      <w:r>
        <w:rPr>
          <w:sz w:val="28"/>
          <w:szCs w:val="28"/>
        </w:rPr>
        <w:t xml:space="preserve"> осуществляется ГКУ НСО </w:t>
      </w:r>
      <w:r>
        <w:rPr>
          <w:bCs/>
          <w:sz w:val="28"/>
          <w:szCs w:val="28"/>
        </w:rPr>
        <w:t xml:space="preserve">«Новосибоблфарм»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основании </w:t>
      </w:r>
      <w:r>
        <w:rPr>
          <w:bCs/>
          <w:sz w:val="28"/>
          <w:szCs w:val="28"/>
        </w:rPr>
        <w:t xml:space="preserve">заявок медицинских организаций, а также на основании п</w:t>
      </w:r>
      <w:r>
        <w:rPr>
          <w:bCs/>
          <w:sz w:val="28"/>
          <w:szCs w:val="28"/>
        </w:rPr>
        <w:t xml:space="preserve">исем министерства здравоо</w:t>
      </w:r>
      <w:r>
        <w:rPr>
          <w:bCs/>
          <w:sz w:val="28"/>
          <w:szCs w:val="28"/>
        </w:rPr>
        <w:t xml:space="preserve">хранения Новосибирской области.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инистерств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здравоохранения Новосибирской </w:t>
      </w:r>
      <w:r>
        <w:rPr>
          <w:bCs/>
          <w:sz w:val="28"/>
          <w:szCs w:val="28"/>
        </w:rPr>
        <w:t xml:space="preserve">области </w:t>
      </w:r>
      <w:r>
        <w:rPr>
          <w:bCs/>
          <w:sz w:val="28"/>
          <w:szCs w:val="28"/>
        </w:rPr>
        <w:t xml:space="preserve">ежегодно, а также</w:t>
      </w:r>
      <w:r>
        <w:rPr>
          <w:bCs/>
          <w:sz w:val="28"/>
          <w:szCs w:val="28"/>
        </w:rPr>
        <w:t xml:space="preserve"> по мере необходимости направляет письма в ГКУ НСО «Новосибоблфарм» для закупки лекарственных препаратов </w:t>
      </w:r>
      <w:r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медицинского применения </w:t>
      </w:r>
      <w:r>
        <w:rPr>
          <w:bCs/>
          <w:sz w:val="28"/>
          <w:szCs w:val="28"/>
        </w:rPr>
        <w:t xml:space="preserve">с целью формирования на складе неснижаемого запаса лекарственных препаратов для медицинского применения д</w:t>
      </w:r>
      <w:r>
        <w:rPr>
          <w:bCs/>
          <w:sz w:val="28"/>
          <w:szCs w:val="28"/>
        </w:rPr>
        <w:t xml:space="preserve">ля своевременного и бесперебойного обеспечения пациентов в рамках мероприятия 2.5.2.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и номенклатура закупки формируется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инистерств</w:t>
      </w:r>
      <w:r>
        <w:rPr>
          <w:bCs/>
          <w:sz w:val="28"/>
          <w:szCs w:val="28"/>
        </w:rPr>
        <w:t xml:space="preserve">ом </w:t>
      </w:r>
      <w:r>
        <w:rPr>
          <w:bCs/>
          <w:sz w:val="28"/>
          <w:szCs w:val="28"/>
        </w:rPr>
        <w:t xml:space="preserve">здравоохранения Новосибирской области</w:t>
      </w:r>
      <w:r>
        <w:rPr>
          <w:bCs/>
          <w:sz w:val="28"/>
          <w:szCs w:val="28"/>
        </w:rPr>
        <w:t xml:space="preserve"> на основании данных о расходе и остатках лекарственных препаратов для медицинского применения на складе и в аптечных пунктах </w:t>
      </w:r>
      <w:r>
        <w:rPr>
          <w:bCs/>
          <w:sz w:val="28"/>
          <w:szCs w:val="28"/>
        </w:rPr>
        <w:t xml:space="preserve">ГКУ НСО «Новосибоблфарм</w:t>
      </w:r>
      <w:r>
        <w:rPr>
          <w:bCs/>
          <w:sz w:val="28"/>
          <w:szCs w:val="28"/>
        </w:rPr>
        <w:t xml:space="preserve">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рав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на обеспечение лекарственными препаратами у пациентов в рамках мероприятия 2.5.2.</w:t>
      </w:r>
      <w:r>
        <w:rPr>
          <w:bCs/>
          <w:sz w:val="28"/>
          <w:szCs w:val="28"/>
        </w:rPr>
        <w:t xml:space="preserve"> прекращается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1) по </w:t>
      </w:r>
      <w:r>
        <w:rPr>
          <w:bCs/>
          <w:sz w:val="28"/>
          <w:szCs w:val="28"/>
        </w:rPr>
        <w:t xml:space="preserve">истечении </w:t>
      </w:r>
      <w:r>
        <w:rPr>
          <w:bCs/>
          <w:sz w:val="28"/>
          <w:szCs w:val="28"/>
        </w:rPr>
        <w:t xml:space="preserve">2 лет с даты постановки диагноза и (или) выполнения хирургического вмешательства для</w:t>
      </w:r>
      <w:r>
        <w:rPr>
          <w:sz w:val="28"/>
          <w:szCs w:val="28"/>
          <w:highlight w:val="none"/>
        </w:rPr>
        <w:t xml:space="preserve">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ангиопластика коронарных артерий со стентированием и катетерная абляция </w:t>
      </w:r>
      <w:r>
        <w:rPr>
          <w:sz w:val="28"/>
          <w:szCs w:val="28"/>
          <w:highlight w:val="none"/>
        </w:rPr>
        <w:t xml:space="preserve">по поводу сердечно-сосудистых заболеваний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при возникновении права </w:t>
      </w:r>
      <w:r>
        <w:rPr>
          <w:bCs/>
          <w:sz w:val="28"/>
          <w:szCs w:val="28"/>
        </w:rPr>
        <w:t xml:space="preserve">на государственную социальную помощь в виде набора социальных услуг, в части обеспечения лекарственными препаратами, в соответствии с Федеральным законом от 17.07.1999 № 178-ФЗ «О государственной социальной помощи»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) при наступлении смерти.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right"/>
        <w:rPr>
          <w:sz w:val="28"/>
        </w:rPr>
      </w:pPr>
      <w:r>
        <w:rPr>
          <w:sz w:val="28"/>
        </w:rPr>
        <w:t xml:space="preserve">Приложение к Алгоритму</w:t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center"/>
        <w:rPr>
          <w:sz w:val="28"/>
        </w:rPr>
      </w:pPr>
      <w:r>
        <w:rPr>
          <w:sz w:val="28"/>
        </w:rPr>
        <w:t xml:space="preserve">Перечень кодов заболеваний по МКБ-10 для включения пациентов в регистр сердечно-сосудистых заболеваний Медицинской информационной системы Новосибирской области</w:t>
      </w:r>
      <w:r>
        <w:rPr>
          <w:sz w:val="28"/>
        </w:rPr>
      </w:r>
      <w:r>
        <w:rPr>
          <w:sz w:val="28"/>
        </w:rPr>
      </w:r>
    </w:p>
    <w:p>
      <w:pPr>
        <w:pStyle w:val="862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99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3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п/п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Категории заболевания </w:t>
            </w:r>
            <w:r>
              <w:rPr>
                <w:sz w:val="28"/>
              </w:rPr>
              <w:t xml:space="preserve">и хирургические вмешательства по поводу сердечно-сосудистых заболеваний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446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по МКБ-10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Острое нарушение мозгового кровообращения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(I60-I64):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1.1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Субарахноидальное кровоизлияние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(I60</w:t>
            </w:r>
            <w:r>
              <w:rPr>
                <w:sz w:val="28"/>
                <w:szCs w:val="28"/>
              </w:rPr>
              <w:t xml:space="preserve">)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I60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I60</w:t>
            </w:r>
            <w:r>
              <w:rPr>
                <w:sz w:val="28"/>
                <w:szCs w:val="28"/>
              </w:rPr>
              <w:t xml:space="preserve">.9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Внутримозговое кровоизлияние </w:t>
            </w:r>
            <w:r>
              <w:rPr>
                <w:sz w:val="28"/>
                <w:szCs w:val="28"/>
                <w:highlight w:val="none"/>
              </w:rPr>
              <w:t xml:space="preserve">(I61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I61</w:t>
            </w:r>
            <w:r>
              <w:rPr>
                <w:sz w:val="28"/>
                <w:szCs w:val="28"/>
              </w:rPr>
              <w:t xml:space="preserve">.0 – </w:t>
            </w:r>
            <w:r>
              <w:rPr>
                <w:sz w:val="28"/>
                <w:szCs w:val="28"/>
              </w:rPr>
              <w:t xml:space="preserve">I6</w:t>
            </w:r>
            <w:r>
              <w:rPr>
                <w:sz w:val="28"/>
                <w:szCs w:val="28"/>
              </w:rPr>
              <w:t xml:space="preserve">1.9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1.3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Другое нетравматическое внутричерепное </w:t>
            </w:r>
            <w:r>
              <w:rPr>
                <w:sz w:val="28"/>
                <w:szCs w:val="28"/>
              </w:rPr>
              <w:t xml:space="preserve">кровоизлияние </w:t>
            </w:r>
            <w:r>
              <w:rPr>
                <w:sz w:val="28"/>
                <w:szCs w:val="28"/>
                <w:highlight w:val="none"/>
              </w:rPr>
              <w:t xml:space="preserve">(I62)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I62</w:t>
            </w:r>
            <w:r>
              <w:rPr>
                <w:sz w:val="28"/>
                <w:szCs w:val="28"/>
              </w:rPr>
              <w:t xml:space="preserve">.0; </w:t>
            </w:r>
            <w:r>
              <w:rPr>
                <w:sz w:val="28"/>
                <w:szCs w:val="28"/>
                <w:lang w:val="en-US"/>
              </w:rPr>
              <w:t xml:space="preserve">I62.1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</w:rPr>
              <w:t xml:space="preserve"> I6</w:t>
            </w:r>
            <w:r>
              <w:rPr>
                <w:sz w:val="28"/>
                <w:szCs w:val="28"/>
              </w:rPr>
              <w:t xml:space="preserve">2.9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Инфаркт мозга </w:t>
            </w:r>
            <w:r>
              <w:rPr>
                <w:sz w:val="28"/>
                <w:szCs w:val="28"/>
                <w:highlight w:val="none"/>
              </w:rPr>
              <w:t xml:space="preserve">(I63</w:t>
            </w:r>
            <w:r>
              <w:rPr>
                <w:sz w:val="28"/>
                <w:szCs w:val="28"/>
              </w:rPr>
              <w:t xml:space="preserve">)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I63</w:t>
            </w:r>
            <w:r>
              <w:rPr>
                <w:sz w:val="28"/>
                <w:szCs w:val="28"/>
              </w:rPr>
              <w:t xml:space="preserve">.0 – </w:t>
            </w:r>
            <w:r>
              <w:rPr>
                <w:sz w:val="28"/>
                <w:szCs w:val="28"/>
              </w:rPr>
              <w:t xml:space="preserve">I6</w:t>
            </w:r>
            <w:r>
              <w:rPr>
                <w:sz w:val="28"/>
                <w:szCs w:val="28"/>
              </w:rPr>
              <w:t xml:space="preserve">3.9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  <w:r/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Инсульт, неуточненный как кровоизлияние и инфаркт </w:t>
            </w:r>
            <w:r>
              <w:rPr>
                <w:sz w:val="28"/>
                <w:szCs w:val="28"/>
              </w:rPr>
              <w:t xml:space="preserve">(I64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Инфаркт миокарда (</w:t>
            </w:r>
            <w:r>
              <w:rPr>
                <w:sz w:val="28"/>
                <w:szCs w:val="28"/>
                <w:lang w:val="en-US"/>
              </w:rPr>
              <w:t xml:space="preserve">I21-I22</w:t>
            </w:r>
            <w:r>
              <w:rPr>
                <w:sz w:val="28"/>
                <w:szCs w:val="28"/>
                <w:lang w:val="ru-RU"/>
              </w:rPr>
              <w:t xml:space="preserve">):</w:t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2.1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Острый инфаркт миокарда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 xml:space="preserve">I21</w:t>
            </w:r>
            <w:r/>
            <w:r>
              <w:rPr>
                <w:sz w:val="28"/>
                <w:szCs w:val="28"/>
                <w:lang w:val="en-US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3446" w:type="dxa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  <w:t xml:space="preserve">I21.</w:t>
            </w:r>
            <w:r>
              <w:rPr>
                <w:sz w:val="28"/>
                <w:szCs w:val="28"/>
                <w:lang w:val="ru-RU"/>
              </w:rPr>
              <w:t xml:space="preserve">0</w:t>
            </w:r>
            <w:r>
              <w:rPr>
                <w:sz w:val="28"/>
                <w:szCs w:val="28"/>
                <w:lang w:val="en-US"/>
              </w:rPr>
              <w:t xml:space="preserve"> – I21</w:t>
            </w:r>
            <w:r>
              <w:rPr>
                <w:sz w:val="28"/>
                <w:szCs w:val="28"/>
                <w:lang w:val="ru-RU"/>
              </w:rPr>
              <w:t xml:space="preserve">.4; </w:t>
            </w:r>
            <w:r>
              <w:rPr>
                <w:sz w:val="28"/>
                <w:szCs w:val="28"/>
                <w:lang w:val="en-US"/>
              </w:rPr>
              <w:t xml:space="preserve">I21.</w:t>
            </w:r>
            <w:r>
              <w:rPr>
                <w:sz w:val="28"/>
                <w:szCs w:val="28"/>
                <w:lang w:val="ru-RU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2.2</w:t>
            </w:r>
            <w:r>
              <w:rPr>
                <w:sz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Повторный инфаркт миокарда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 xml:space="preserve">I22)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.0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8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Постинфарктный кардиосклероз, зарегистрированный в текущем году если он не был зарегистрирован ранее с кодами I21 или I22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I25.2; I25.8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1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Аортокоронарное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шунтирование</w:t>
            </w:r>
            <w:r>
              <w:rPr>
                <w:sz w:val="28"/>
                <w:szCs w:val="28"/>
                <w:lang w:val="en-US"/>
              </w:rPr>
              <w:t xml:space="preserve">*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.0 – I20.9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I21</w:t>
            </w:r>
            <w:r>
              <w:rPr>
                <w:sz w:val="28"/>
                <w:szCs w:val="28"/>
                <w:lang w:val="en-US"/>
              </w:rPr>
              <w:t xml:space="preserve">.0 – I21.9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.0 – I22.9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I24</w:t>
            </w:r>
            <w:r>
              <w:rPr>
                <w:sz w:val="28"/>
                <w:szCs w:val="28"/>
                <w:lang w:val="en-US"/>
              </w:rPr>
              <w:t xml:space="preserve">.0– I24.9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.0 – </w:t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.9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44.1;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44.2;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45.2;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45.3;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45.6;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46.0; </w:t>
            </w:r>
            <w:r>
              <w:rPr>
                <w:sz w:val="28"/>
                <w:szCs w:val="28"/>
                <w:lang w:val="en-US"/>
              </w:rPr>
              <w:t xml:space="preserve">I49.5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Ангиопластика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коронарных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артерий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стентированием</w:t>
            </w:r>
            <w:r>
              <w:rPr>
                <w:sz w:val="28"/>
                <w:szCs w:val="28"/>
                <w:lang w:val="en-US"/>
              </w:rPr>
              <w:t xml:space="preserve">*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.0 – I20.9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I21</w:t>
            </w:r>
            <w:r>
              <w:rPr>
                <w:sz w:val="28"/>
                <w:szCs w:val="28"/>
                <w:lang w:val="en-US"/>
              </w:rPr>
              <w:t xml:space="preserve">.0 – I21.9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.0 – I22.9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I24</w:t>
            </w:r>
            <w:r>
              <w:rPr>
                <w:sz w:val="28"/>
                <w:szCs w:val="28"/>
                <w:lang w:val="en-US"/>
              </w:rPr>
              <w:t xml:space="preserve">.0– I24.9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.0 – </w:t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.9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44.1;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44.2;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45.2;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45.3;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45.6;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46.0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I49.5</w:t>
            </w:r>
            <w:r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Катетерная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абляция</w:t>
            </w:r>
            <w:r>
              <w:rPr>
                <w:sz w:val="28"/>
                <w:szCs w:val="28"/>
                <w:lang w:val="en-US"/>
              </w:rPr>
              <w:t xml:space="preserve">*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446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45</w:t>
            </w:r>
            <w:r>
              <w:rPr>
                <w:sz w:val="28"/>
                <w:szCs w:val="28"/>
                <w:lang w:val="en-US"/>
              </w:rPr>
              <w:t xml:space="preserve">.0 </w:t>
            </w:r>
            <w:r>
              <w:rPr>
                <w:sz w:val="28"/>
                <w:szCs w:val="28"/>
                <w:lang w:val="en-US"/>
              </w:rPr>
              <w:t xml:space="preserve"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I45</w:t>
            </w:r>
            <w:r>
              <w:rPr>
                <w:sz w:val="28"/>
                <w:szCs w:val="28"/>
              </w:rPr>
              <w:t xml:space="preserve">.9;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47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  <w:lang w:val="en-US"/>
              </w:rPr>
              <w:t xml:space="preserve"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I47</w:t>
            </w:r>
            <w:r>
              <w:rPr>
                <w:sz w:val="28"/>
                <w:szCs w:val="28"/>
              </w:rPr>
              <w:t xml:space="preserve">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48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  <w:lang w:val="en-US"/>
              </w:rPr>
              <w:t xml:space="preserve"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I48</w:t>
            </w:r>
            <w:r>
              <w:rPr>
                <w:sz w:val="28"/>
                <w:szCs w:val="28"/>
              </w:rPr>
              <w:t xml:space="preserve">.9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49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  <w:lang w:val="en-US"/>
              </w:rPr>
              <w:t xml:space="preserve"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</w:t>
            </w:r>
            <w:r>
              <w:rPr>
                <w:sz w:val="28"/>
                <w:szCs w:val="28"/>
              </w:rPr>
              <w:t xml:space="preserve">9.9;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44.1;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44.2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Ишемическая болезнь сердца в сочетании с фибрилляцией </w:t>
            </w:r>
            <w:r>
              <w:rPr>
                <w:sz w:val="28"/>
                <w:szCs w:val="28"/>
              </w:rPr>
              <w:t xml:space="preserve">предсердий и хронической сердечной недостаточностью, </w:t>
            </w:r>
            <w:r>
              <w:rPr>
                <w:sz w:val="28"/>
                <w:szCs w:val="28"/>
              </w:rPr>
              <w:t xml:space="preserve">с подтвержденным эхокардиографией в течение предшествующих 12 </w:t>
            </w:r>
            <w:r>
              <w:rPr>
                <w:sz w:val="28"/>
                <w:szCs w:val="28"/>
              </w:rPr>
              <w:t xml:space="preserve">месяцев значением фракции выброса левого желудочка &lt;40%: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r>
              <w:rPr>
                <w:sz w:val="28"/>
                <w:szCs w:val="28"/>
                <w:highlight w:val="none"/>
              </w:rPr>
              <w:t xml:space="preserve">Ишемическая болезнь сердца (I20-I25):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Стенокардия (I20);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Острый инфаркт миокарда (I21);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Повторный инфаркт миокарда (I22);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Некоторые текущие осложнения острого инфаркта миокарда (I23);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Другие формы острой ишемической болезни сердца (I24);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– Хроническая ишемическая болезнь сердца (I25);</w:t>
            </w:r>
            <w:r/>
          </w:p>
          <w:p>
            <w:r>
              <w:rPr>
                <w:sz w:val="28"/>
                <w:szCs w:val="28"/>
                <w:highlight w:val="none"/>
              </w:rPr>
              <w:t xml:space="preserve">Фибрилляция и трепетание предсердий (I48);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Сердечная недостаточность (I50)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862"/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.0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8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I20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/>
            <w:r>
              <w:rPr>
                <w:sz w:val="28"/>
                <w:szCs w:val="28"/>
                <w:lang w:val="ru-RU"/>
              </w:rPr>
            </w:r>
            <w:r/>
            <w:r>
              <w:rPr>
                <w:sz w:val="28"/>
                <w:szCs w:val="28"/>
                <w:lang w:val="ru-RU"/>
              </w:rPr>
            </w:r>
            <w:r/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  <w:t xml:space="preserve">I21.</w:t>
            </w:r>
            <w:r>
              <w:rPr>
                <w:sz w:val="28"/>
                <w:szCs w:val="28"/>
                <w:lang w:val="ru-RU"/>
              </w:rPr>
              <w:t xml:space="preserve">0</w:t>
            </w:r>
            <w:r>
              <w:rPr>
                <w:sz w:val="28"/>
                <w:szCs w:val="28"/>
                <w:lang w:val="en-US"/>
              </w:rPr>
              <w:t xml:space="preserve"> – I21</w:t>
            </w:r>
            <w:r>
              <w:rPr>
                <w:sz w:val="28"/>
                <w:szCs w:val="28"/>
                <w:lang w:val="ru-RU"/>
              </w:rPr>
              <w:t xml:space="preserve">.4; </w:t>
            </w:r>
            <w:r>
              <w:rPr>
                <w:sz w:val="28"/>
                <w:szCs w:val="28"/>
                <w:lang w:val="en-US"/>
              </w:rPr>
              <w:t xml:space="preserve">I21.</w:t>
            </w:r>
            <w:r>
              <w:rPr>
                <w:sz w:val="28"/>
                <w:szCs w:val="28"/>
                <w:lang w:val="ru-RU"/>
              </w:rPr>
              <w:t xml:space="preserve">9;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.0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8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I22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9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/>
            <w:r>
              <w:rPr>
                <w:sz w:val="28"/>
                <w:szCs w:val="28"/>
                <w:lang w:val="ru-RU"/>
              </w:rPr>
            </w:r>
            <w:r/>
            <w:r>
              <w:rPr>
                <w:sz w:val="28"/>
                <w:szCs w:val="28"/>
                <w:lang w:val="ru-RU"/>
              </w:rPr>
            </w:r>
            <w:r/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I2</w:t>
            </w:r>
            <w:r>
              <w:rPr>
                <w:sz w:val="28"/>
                <w:szCs w:val="28"/>
                <w:lang w:val="ru-RU"/>
              </w:rPr>
              <w:t xml:space="preserve">3</w:t>
            </w:r>
            <w:r>
              <w:rPr>
                <w:sz w:val="28"/>
                <w:szCs w:val="28"/>
                <w:lang w:val="en-US"/>
              </w:rPr>
              <w:t xml:space="preserve">.0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– I2</w:t>
            </w:r>
            <w:r>
              <w:rPr>
                <w:sz w:val="28"/>
                <w:szCs w:val="28"/>
                <w:lang w:val="ru-RU"/>
              </w:rPr>
              <w:t xml:space="preserve">3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8;</w:t>
            </w:r>
            <w:r/>
            <w:r/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I24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 xml:space="preserve">I2</w:t>
            </w:r>
            <w:r>
              <w:rPr>
                <w:sz w:val="28"/>
                <w:szCs w:val="28"/>
                <w:lang w:val="ru-RU"/>
              </w:rPr>
              <w:t xml:space="preserve">4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8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I24.</w:t>
            </w:r>
            <w:r>
              <w:rPr>
                <w:sz w:val="28"/>
                <w:szCs w:val="28"/>
                <w:lang w:val="ru-RU"/>
              </w:rPr>
              <w:t xml:space="preserve">9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.0 – </w:t>
            </w:r>
            <w:r>
              <w:rPr>
                <w:sz w:val="28"/>
                <w:szCs w:val="28"/>
                <w:lang w:val="en-US"/>
              </w:rPr>
              <w:t xml:space="preserve">I25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4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;</w:t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48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0 </w:t>
            </w:r>
            <w:r>
              <w:rPr>
                <w:sz w:val="28"/>
                <w:szCs w:val="28"/>
                <w:lang w:val="en-US"/>
              </w:rPr>
              <w:t xml:space="preserve">–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I48</w:t>
            </w:r>
            <w:r>
              <w:rPr>
                <w:sz w:val="28"/>
                <w:szCs w:val="28"/>
              </w:rPr>
              <w:t xml:space="preserve">.4;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I48</w:t>
            </w:r>
            <w:r>
              <w:rPr>
                <w:sz w:val="28"/>
                <w:szCs w:val="28"/>
              </w:rPr>
              <w:t xml:space="preserve">.9;</w:t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  <w:lang w:val="en-US"/>
              </w:rPr>
              <w:t xml:space="preserve">0</w:t>
            </w:r>
            <w:r>
              <w:rPr>
                <w:sz w:val="28"/>
                <w:szCs w:val="28"/>
                <w:lang w:val="ru-RU"/>
              </w:rPr>
              <w:t xml:space="preserve"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  <w:lang w:val="ru-RU"/>
              </w:rPr>
              <w:t xml:space="preserve">1;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ru-RU"/>
              </w:rPr>
              <w:t xml:space="preserve">50</w:t>
            </w:r>
            <w:r>
              <w:rPr>
                <w:sz w:val="28"/>
                <w:szCs w:val="28"/>
              </w:rPr>
              <w:t xml:space="preserve">.9</w:t>
            </w:r>
            <w:r>
              <w:rPr>
                <w:sz w:val="28"/>
                <w:szCs w:val="28"/>
                <w:lang w:val="en-US"/>
              </w:rPr>
            </w:r>
            <w:r/>
          </w:p>
        </w:tc>
      </w:tr>
    </w:tbl>
    <w:p>
      <w:pPr>
        <w:pStyle w:val="862"/>
        <w:ind w:firstLine="709"/>
        <w:jc w:val="both"/>
      </w:pPr>
      <w:r>
        <w:rPr>
          <w:lang w:val="en-US"/>
        </w:rPr>
        <w:t xml:space="preserve">* </w:t>
      </w:r>
      <w:r>
        <w:rPr>
          <w:bCs/>
          <w:lang w:val="en-US"/>
        </w:rPr>
        <w:t xml:space="preserve">– </w:t>
      </w:r>
      <w:r>
        <w:t xml:space="preserve">соответствие кодов мкб-10 согласно постановлению Правительства Российской Федерации от 29.12.2022 № 2497 «О программе государственных гарантий бесплатного оказания гражданам медицинской помощи на 2023 и на плановый период 2024 и 2025 годов»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2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864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865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66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86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6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6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7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7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4"/>
      <w:szCs w:val="24"/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numPr>
        <w:ilvl w:val="0"/>
        <w:numId w:val="1"/>
      </w:numPr>
      <w:jc w:val="both"/>
      <w:keepNext/>
      <w:outlineLvl w:val="0"/>
    </w:pPr>
    <w:rPr>
      <w:sz w:val="28"/>
      <w:szCs w:val="28"/>
    </w:rPr>
  </w:style>
  <w:style w:type="paragraph" w:styleId="864">
    <w:name w:val="Заголовок 2"/>
    <w:basedOn w:val="862"/>
    <w:next w:val="862"/>
    <w:link w:val="862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865">
    <w:name w:val="Заголовок 3"/>
    <w:basedOn w:val="862"/>
    <w:next w:val="862"/>
    <w:link w:val="862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867">
    <w:name w:val="Заголовок 5"/>
    <w:basedOn w:val="862"/>
    <w:next w:val="862"/>
    <w:link w:val="862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868">
    <w:name w:val="Заголовок 6"/>
    <w:basedOn w:val="862"/>
    <w:next w:val="862"/>
    <w:link w:val="862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869">
    <w:name w:val="Заголовок 7"/>
    <w:basedOn w:val="862"/>
    <w:next w:val="862"/>
    <w:link w:val="862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870">
    <w:name w:val="Заголовок 8"/>
    <w:basedOn w:val="862"/>
    <w:next w:val="862"/>
    <w:link w:val="862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871">
    <w:name w:val="Заголовок 9"/>
    <w:basedOn w:val="862"/>
    <w:next w:val="862"/>
    <w:link w:val="862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872">
    <w:name w:val="Основной шрифт абзаца"/>
    <w:next w:val="872"/>
    <w:link w:val="862"/>
    <w:semiHidden/>
  </w:style>
  <w:style w:type="table" w:styleId="873">
    <w:name w:val="Обычная таблица"/>
    <w:next w:val="873"/>
    <w:link w:val="862"/>
    <w:semiHidden/>
    <w:tblPr/>
  </w:style>
  <w:style w:type="numbering" w:styleId="874">
    <w:name w:val="Нет списка"/>
    <w:next w:val="874"/>
    <w:link w:val="862"/>
    <w:semiHidden/>
  </w:style>
  <w:style w:type="paragraph" w:styleId="875">
    <w:name w:val="Верхний колонтитул"/>
    <w:basedOn w:val="862"/>
    <w:next w:val="875"/>
    <w:link w:val="895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876">
    <w:name w:val="Название"/>
    <w:basedOn w:val="862"/>
    <w:next w:val="876"/>
    <w:link w:val="862"/>
    <w:qFormat/>
    <w:pPr>
      <w:ind w:right="27"/>
      <w:jc w:val="center"/>
    </w:pPr>
    <w:rPr>
      <w:b/>
      <w:sz w:val="28"/>
    </w:rPr>
  </w:style>
  <w:style w:type="paragraph" w:styleId="877">
    <w:name w:val="Подзаголовок"/>
    <w:basedOn w:val="862"/>
    <w:next w:val="877"/>
    <w:link w:val="862"/>
    <w:qFormat/>
    <w:pPr>
      <w:ind w:right="27"/>
      <w:jc w:val="center"/>
    </w:pPr>
    <w:rPr>
      <w:b/>
      <w:sz w:val="28"/>
    </w:rPr>
  </w:style>
  <w:style w:type="paragraph" w:styleId="878">
    <w:name w:val="Обычный (веб)"/>
    <w:basedOn w:val="862"/>
    <w:next w:val="878"/>
    <w:link w:val="862"/>
    <w:pPr>
      <w:spacing w:after="168"/>
    </w:pPr>
  </w:style>
  <w:style w:type="paragraph" w:styleId="879">
    <w:name w:val="Body Text 2"/>
    <w:basedOn w:val="862"/>
    <w:next w:val="879"/>
    <w:link w:val="862"/>
    <w:pPr>
      <w:ind w:firstLine="709"/>
      <w:jc w:val="both"/>
    </w:pPr>
    <w:rPr>
      <w:sz w:val="28"/>
      <w:szCs w:val="20"/>
    </w:rPr>
  </w:style>
  <w:style w:type="table" w:styleId="880">
    <w:name w:val="Сетка таблицы"/>
    <w:basedOn w:val="873"/>
    <w:next w:val="880"/>
    <w:link w:val="862"/>
    <w:tblPr/>
  </w:style>
  <w:style w:type="paragraph" w:styleId="881">
    <w:name w:val="заголовок 2"/>
    <w:basedOn w:val="862"/>
    <w:next w:val="862"/>
    <w:link w:val="862"/>
    <w:pPr>
      <w:jc w:val="center"/>
      <w:keepNext/>
      <w:outlineLvl w:val="1"/>
    </w:pPr>
    <w:rPr>
      <w:sz w:val="28"/>
      <w:szCs w:val="28"/>
    </w:rPr>
  </w:style>
  <w:style w:type="paragraph" w:styleId="882">
    <w:name w:val="Текст выноски"/>
    <w:basedOn w:val="862"/>
    <w:next w:val="882"/>
    <w:link w:val="862"/>
    <w:semiHidden/>
    <w:rPr>
      <w:rFonts w:ascii="Tahoma" w:hAnsi="Tahoma" w:cs="Tahoma"/>
      <w:sz w:val="16"/>
      <w:szCs w:val="16"/>
    </w:rPr>
  </w:style>
  <w:style w:type="paragraph" w:styleId="883">
    <w:name w:val="ConsPlusTitle"/>
    <w:next w:val="883"/>
    <w:link w:val="86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4">
    <w:name w:val="Абзац списка"/>
    <w:basedOn w:val="862"/>
    <w:next w:val="884"/>
    <w:link w:val="862"/>
    <w:uiPriority w:val="34"/>
    <w:qFormat/>
    <w:pPr>
      <w:contextualSpacing/>
      <w:ind w:left="720"/>
    </w:pPr>
    <w:rPr>
      <w:sz w:val="28"/>
      <w:szCs w:val="20"/>
    </w:rPr>
  </w:style>
  <w:style w:type="paragraph" w:styleId="885">
    <w:name w:val="Без интервала1"/>
    <w:next w:val="885"/>
    <w:link w:val="862"/>
    <w:rPr>
      <w:rFonts w:ascii="Calibri" w:hAnsi="Calibri"/>
      <w:sz w:val="22"/>
      <w:szCs w:val="22"/>
      <w:lang w:val="ru-RU" w:eastAsia="ru-RU" w:bidi="ar-SA"/>
    </w:rPr>
  </w:style>
  <w:style w:type="paragraph" w:styleId="886">
    <w:name w:val="Без интервала"/>
    <w:next w:val="886"/>
    <w:link w:val="862"/>
    <w:uiPriority w:val="1"/>
    <w:qFormat/>
    <w:rPr>
      <w:sz w:val="24"/>
      <w:szCs w:val="24"/>
      <w:lang w:val="ru-RU" w:eastAsia="ru-RU" w:bidi="ar-SA"/>
    </w:rPr>
  </w:style>
  <w:style w:type="character" w:styleId="887">
    <w:name w:val="Гиперссылка"/>
    <w:next w:val="887"/>
    <w:link w:val="862"/>
    <w:uiPriority w:val="99"/>
    <w:unhideWhenUsed/>
    <w:rPr>
      <w:color w:val="0000ff"/>
      <w:u w:val="single"/>
    </w:rPr>
  </w:style>
  <w:style w:type="character" w:styleId="888">
    <w:name w:val="Знак примечания"/>
    <w:next w:val="888"/>
    <w:link w:val="862"/>
    <w:rPr>
      <w:sz w:val="16"/>
      <w:szCs w:val="16"/>
    </w:rPr>
  </w:style>
  <w:style w:type="paragraph" w:styleId="889">
    <w:name w:val="Текст примечания"/>
    <w:basedOn w:val="862"/>
    <w:next w:val="889"/>
    <w:link w:val="890"/>
    <w:rPr>
      <w:sz w:val="20"/>
      <w:szCs w:val="20"/>
    </w:rPr>
  </w:style>
  <w:style w:type="character" w:styleId="890">
    <w:name w:val="Текст примечания Знак"/>
    <w:basedOn w:val="872"/>
    <w:next w:val="890"/>
    <w:link w:val="889"/>
  </w:style>
  <w:style w:type="paragraph" w:styleId="891">
    <w:name w:val="Тема примечания"/>
    <w:basedOn w:val="889"/>
    <w:next w:val="889"/>
    <w:link w:val="892"/>
    <w:rPr>
      <w:b/>
      <w:bCs/>
    </w:rPr>
  </w:style>
  <w:style w:type="character" w:styleId="892">
    <w:name w:val="Тема примечания Знак"/>
    <w:next w:val="892"/>
    <w:link w:val="891"/>
    <w:rPr>
      <w:b/>
      <w:bCs/>
    </w:rPr>
  </w:style>
  <w:style w:type="paragraph" w:styleId="893">
    <w:name w:val="Нижний колонтитул"/>
    <w:basedOn w:val="862"/>
    <w:next w:val="893"/>
    <w:link w:val="894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rPr>
      <w:sz w:val="24"/>
      <w:szCs w:val="24"/>
    </w:rPr>
  </w:style>
  <w:style w:type="character" w:styleId="895">
    <w:name w:val="Верхний колонтитул Знак"/>
    <w:next w:val="895"/>
    <w:link w:val="875"/>
    <w:uiPriority w:val="99"/>
    <w:rPr>
      <w:sz w:val="28"/>
      <w:szCs w:val="28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revision>7</cp:revision>
  <dcterms:created xsi:type="dcterms:W3CDTF">2023-03-15T03:54:00Z</dcterms:created>
  <dcterms:modified xsi:type="dcterms:W3CDTF">2024-03-04T05:53:34Z</dcterms:modified>
  <cp:version>1048576</cp:version>
</cp:coreProperties>
</file>