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0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0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0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экономического развития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0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09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 ____________ № 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left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left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26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министерством экономического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внутреннего финансового аудита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 Общие положения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left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осуществления минис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терством экономического развития Новосибирской области внутреннего финансового аудита (далее – Порядок) определяет цели, организацию и порядок осуществления внутреннего финансового аудита в министерстве экономического развития Новосибирской области (далее–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разработан на основании пункта 5 статьи 160.2-1 Бюджетного кодекса Российской Федерации и в соответствии с федеральными стандартами внутреннего финансового аудита, утвержденными приказами Министерства финансов Российской Федерации: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от 21.11.2019 № 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финансового аудита» (далее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стандарт № 195н);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от 21.11.2019 № 196н «Об утверждении федерального стандарта внутреннего финансового аудита «Определения, принципы и задачи внутреннего финансового аудит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а» (далее – 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стандарт № 196н);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от 18.12.2019 № 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финансового аудита» (далее – 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стандарт № 237н);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от 22.05.2020 № 91н «Об утверждении федерального стандарта внутреннего финансового аудита «Реализация результатов внутреннег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финансового аудита» (далее – 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стандарт № 91н);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от 05.08.2020 № 160н «Об утверждении федерального стандарта внутреннего финансового аудита «Планирование и проведение внутреннег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финансового аудита» (далее – 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стандарт № 160н);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 от 01.09.2021 № 120н «Об утверждении федерального стандарта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</w:t>
      </w:r>
      <w:r>
        <w:rPr>
          <w:rFonts w:ascii="Times New Roman" w:hAnsi="Times New Roman" w:cs="Times New Roman"/>
          <w:sz w:val="28"/>
          <w:szCs w:val="28"/>
        </w:rPr>
        <w:t xml:space="preserve">учета, составления, представления и утверждения бюджетной отчетности»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стандарт № 120н)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настоящем Порядке применяются терми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 в значениях, определенных в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едеральном стандарте № 196н.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Внутренний финансовый аудит осуществляется в целях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 оценки надежности внутреннего процесса министерства,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 </w:t>
      </w:r>
      <w:r>
        <w:rPr>
          <w:rFonts w:ascii="Times New Roman" w:hAnsi="Times New Roman" w:cs="Times New Roman"/>
          <w:sz w:val="28"/>
          <w:szCs w:val="28"/>
        </w:rPr>
        <w:t xml:space="preserve">– внутренний финансовый контроль), и подготовки предложений об организации внутреннего финансового контроля;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подтверждения достоверности бюджетной отчетности и соответствия поря</w:t>
      </w:r>
      <w:r>
        <w:rPr>
          <w:rFonts w:ascii="Times New Roman" w:hAnsi="Times New Roman" w:cs="Times New Roman"/>
          <w:sz w:val="28"/>
          <w:szCs w:val="28"/>
        </w:rPr>
        <w:t xml:space="preserve">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</w:t>
      </w:r>
      <w:hyperlink r:id="rId15" w:tooltip="consultantplus://offline/ref=71D001614273C5AD3F11F81491F15E70C7CF9112A6C28E335F1A5FE9A0D9025ABF63840809606545E5D4D58B04422C49C05D7AC3DF3CI0s3C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5 статьи 264.1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повышения качества финансового менеджмента.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Объектами внутреннего финансового аудита являются бюджетные процедуры и (или) составляющие эти процедуры операции (действия) по их выполнению (далее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бъект внутреннего финансового аудита).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Субъектами бюджетных процедур являются руководители и должностные </w:t>
      </w:r>
      <w:r>
        <w:rPr>
          <w:rFonts w:ascii="Times New Roman" w:hAnsi="Times New Roman" w:cs="Times New Roman"/>
          <w:sz w:val="28"/>
          <w:szCs w:val="28"/>
        </w:rPr>
        <w:t xml:space="preserve">лица структурных подразделений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инистерства, которые организуют (обеспечивают выполнение), выполняю</w:t>
      </w:r>
      <w:r>
        <w:rPr>
          <w:rFonts w:ascii="Times New Roman" w:hAnsi="Times New Roman" w:cs="Times New Roman"/>
          <w:sz w:val="28"/>
          <w:szCs w:val="28"/>
        </w:rPr>
        <w:t xml:space="preserve">т бюджетные процедуры (далее </w:t>
      </w:r>
      <w:r>
        <w:rPr>
          <w:rFonts w:ascii="Times New Roman" w:hAnsi="Times New Roman" w:cs="Times New Roman"/>
          <w:sz w:val="28"/>
          <w:szCs w:val="28"/>
        </w:rPr>
        <w:t xml:space="preserve">– с</w:t>
      </w:r>
      <w:r>
        <w:rPr>
          <w:rFonts w:ascii="Times New Roman" w:hAnsi="Times New Roman" w:cs="Times New Roman"/>
          <w:sz w:val="28"/>
          <w:szCs w:val="28"/>
        </w:rPr>
        <w:t xml:space="preserve">убъект бюджетных процедур).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Субъектом внутреннего финансового аудита является должностное лицо министерства, </w:t>
      </w:r>
      <w:r>
        <w:rPr>
          <w:rFonts w:ascii="Times New Roman" w:hAnsi="Times New Roman" w:cs="Times New Roman"/>
          <w:sz w:val="28"/>
          <w:szCs w:val="28"/>
        </w:rPr>
        <w:t xml:space="preserve">наделенное приказом министерства полномочиями по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на основе функциональной независимости (далее –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убъект внутреннего финансового аудита).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внутреннего финансового аудита подчиняется непосредственно и исключительно министру экономического развития Новосибирской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Деятельность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убъекта внутреннего финансового аудита основывается на принципах законности, функциональной независимости, объективности, компетентности, профессиональном скептицизме, эффективности, системности, ответственности и стандартизации.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Права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обязанности субъекта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внутреннего финансового аудита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субъектов бюджетных процедур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едеральным стандартом № 195н.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II. Планирование аудиторских мероприятий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Плановые аудиторские мероприятия проводятся в соответствии с планом проведения аудиторских мероприятий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очередной финансовый год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План),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которого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составляется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убъектом внутреннего финансового аудита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форме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приложению № 1 к настоящему Порядку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утверждается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инистром до начала очередного финансового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формирование данных для составления проекта Плана учитываются положения, определенные пунктом 4 Федерального стандарта № 160н.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должен содержать перечень планируемых к проведению в очередном финансовом году аудиторских мероприяти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й, одно из которых проводится в целях подтверждения достоверности годовой бюджетной отчетности министерства и соответствия порядка ведения бюджетного учета единой методологии бюджетного учета, составления, представления и утверждения бюджетной отчетности,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ведомственным (внутренним) актам, принятым в соответствии с </w:t>
      </w:r>
      <w:hyperlink r:id="rId16" w:tooltip="consultantplus://offline/ref=1AFF47DAA21416659D09DD28875DA4AF4FDB5D05AF535C8E5DE48C9CD4CF99BDB52F800959D28AC55A0C5D97C98DF52654C4B5B60F15eDAAE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5 статьи 264.1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том числе содержать тему и дату (месяц) окончания аудиторского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доводится до субъектов бюджетных процедур в целях информирования о запланированных аудиторских мероприятиях.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В утвержденный План могут вноситься изменения 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принятия министром решения о необходимости внесения изменений в План;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направления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убъектом внутреннего финансового аудита в адрес министра предложений о внесении изменений в План, в том числе по причине невозможности проведения плановых аудиторских мероприятий в связи с: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 наступлением обстоятельств непреодолимой силы;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 недостаточностью временных и (или) трудовых ресурсов при необходимости проведения внеплановых аудиторских мероприятий;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 </w:t>
      </w:r>
      <w:r>
        <w:rPr>
          <w:rFonts w:ascii="Times New Roman" w:hAnsi="Times New Roman" w:cs="Times New Roman"/>
          <w:sz w:val="28"/>
          <w:szCs w:val="28"/>
        </w:rPr>
        <w:t xml:space="preserve">внесением изменений в законодательные и иные нормативные правовые акты Российской Федерации, нормативные правовые акты субъектов Российской Федерации, в том числе регулирующие осуществление операций (действий) по выполнению бюджетных процедур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 выявлением в ходе подготовки аудиторского мероприятия существенных обстоятельств (необходимость изменения темы и (или) даты (месяца) окончания аудиторского мероприятия);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 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реорганизацией, ликвидацией министерства и (или) субъекта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в План утверждаются министром.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Внеплановое аудиторское мероприятие проводится на основании решения министра, которое должно содержать тему и сроки его проведения.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III. Программа аудиторского мероприятия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Аудиторское мероприятие проводится в соответствии с программой аудиторского мероприятия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которая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субъектом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В</w:t>
      </w:r>
      <w:r>
        <w:rPr>
          <w:rFonts w:ascii="Times New Roman" w:hAnsi="Times New Roman" w:cs="Times New Roman"/>
          <w:sz w:val="28"/>
          <w:szCs w:val="28"/>
        </w:rPr>
        <w:t xml:space="preserve"> целях составления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субъектом внутреннего финансового аудита проводится пр</w:t>
      </w:r>
      <w:r>
        <w:rPr>
          <w:rFonts w:ascii="Times New Roman" w:hAnsi="Times New Roman" w:cs="Times New Roman"/>
          <w:sz w:val="28"/>
          <w:szCs w:val="28"/>
        </w:rPr>
        <w:t xml:space="preserve">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 (действиями) по выполнению бюджетных процедур, являющихся объектами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. Программа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содержит следующую информацию: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основание проведения и тему аудиторского мероприятия (пункт Плана или решение о проведении внепланового аудиторского мероприятия);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сроки проведения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цель (цели) и задачи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 методы внутреннего финансового аудита, которые будут применены при проведении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наименование (перечень) объекта(ов)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аудита;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перечень вопросов, подлежащих изучению в ходе проведения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сведения о субъекте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 Аудиторское мероприятие, целью которого является подтверждение до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стоверности годовой бюджетной отчетности, соответствия порядка ведения бюджетного учета единой методологии учета и отчетности, должно быть завершено до момента наступления одного из следующих событий, в зависимости от того, какое из событий наступит ранее: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1) до даты (месяца) окончания аудиторского мероприятия, указанной в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Плане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2) до подписания министром бюджетной отчетности годовой консолидированной бюджетной отчетности.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 Выбор метода (методов) внутреннего финансового аудита для исследования вопросов, подлежащих изучению для достижения целей и решения задач аудиторского мероприятия, основывается на характере исследуемого вопроса и целях его изучения.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внутреннего финансового аудита: аналитические процедуры; инспектирование; пересчет; запрос; наблюдение; мониторинг процедур внутреннего финансового контроля; подтверждение.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изучения одного вопроса могут быть использованы несколько методов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методы внутреннего финансового аудита должны обеспечить получение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убъектом внутреннего финансового аудита обоснованных, надежных и достаточных аудиторских доказательств для формирования выводов, предложений и рекомендаций по результатам аудиторского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мероприятия процедуры субъект внутреннего финансового аудита может прийти к выводу о необходимости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в связи с актуализацией оценки бюджетных рисков, в том числе на основании полученной информации об организации (обеспечении выполнения), выполнении бюджетной процедуры.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18. Изменения в Программу утверждаются субъектом внутреннего финансового аудита в срок не позднее 5 рабочих дней с даты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актуализации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оценки бюджетных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рисков.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IV. Проведение аудиторских мероприятий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Аудиторское мероприятие проводится в соответствии с утвержденной Программой путем выполнения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субъектом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действий (применения совокупности профессиональных знаний, навыков и других компетенций, позволяющих проводить аудиторское мероприятие), в том числе действий по сбору аудиторских доказательств, формированию выводов, предложений и рекомендаций.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Субъектом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принципами внутреннего фина</w:t>
      </w:r>
      <w:r>
        <w:rPr>
          <w:rFonts w:ascii="Times New Roman" w:hAnsi="Times New Roman" w:cs="Times New Roman"/>
          <w:sz w:val="28"/>
          <w:szCs w:val="28"/>
        </w:rPr>
        <w:t xml:space="preserve">нсового аудита, установленными Ф</w:t>
      </w:r>
      <w:r>
        <w:rPr>
          <w:rFonts w:ascii="Times New Roman" w:hAnsi="Times New Roman" w:cs="Times New Roman"/>
          <w:sz w:val="28"/>
          <w:szCs w:val="28"/>
        </w:rPr>
        <w:t xml:space="preserve">едеральным стандартом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 196н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соответствии с принципом профессионального скептицизма, при проведении аудиторского мероприятия должны быть собраны обоснованные, надежные и достаточные аудиторские доказательства.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</w:t>
      </w:r>
      <w:r>
        <w:rPr>
          <w:rFonts w:ascii="Times New Roman" w:hAnsi="Times New Roman" w:cs="Times New Roman"/>
          <w:sz w:val="28"/>
          <w:szCs w:val="28"/>
        </w:rPr>
        <w:t xml:space="preserve">ятия может использоваться фото-</w:t>
      </w:r>
      <w:r>
        <w:rPr>
          <w:rFonts w:ascii="Times New Roman" w:hAnsi="Times New Roman" w:cs="Times New Roman"/>
          <w:sz w:val="28"/>
          <w:szCs w:val="28"/>
        </w:rPr>
        <w:t xml:space="preserve"> видео-и аудиотехника, а также иные виды техники и приборов.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 Аудиторские доказательства представляют собой полученные с использованием методов внутреннего финансового ау</w:t>
      </w:r>
      <w:r>
        <w:rPr>
          <w:rFonts w:ascii="Times New Roman" w:hAnsi="Times New Roman" w:cs="Times New Roman"/>
          <w:sz w:val="28"/>
          <w:szCs w:val="28"/>
        </w:rPr>
        <w:t xml:space="preserve">дита документы и фактические данные, информацию в отношении вопросов, подлежащих изучению в ходе проведения аудиторского мероприятия, включая расчеты (результаты расчетов), числовые показатели и информацию, полученную при оценке бюджетных рисков и проведен</w:t>
      </w:r>
      <w:r>
        <w:rPr>
          <w:rFonts w:ascii="Times New Roman" w:hAnsi="Times New Roman" w:cs="Times New Roman"/>
          <w:sz w:val="28"/>
          <w:szCs w:val="28"/>
        </w:rPr>
        <w:t xml:space="preserve">ии мониторинга реализации мер по минимизации (устранению) бюджетных рисков, а также иные сведения, используемые для формирования выводов, предложений и рекомендаций субъекта внутреннего финансового аудита по результатам проведения аудиторского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При сборе аудиторских доказательств, в том числе при оценке обоснованности, надежности и достаточности аудиторских доказательств для формирования выводов, предложений и рекомендаций по результатам аудиторского мероприятия, учитывается следующее: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аудиторские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 являются обоснованными, если они имеют логическую связь с вопросами, подлежащими изучению в ходе проведения аудиторского мероприятия, и важны для изучения этих вопросов, а также для достижения целей и решения задач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аудиторские доказательства являются надежными, если при повторном применении методов вну</w:t>
      </w:r>
      <w:r>
        <w:rPr>
          <w:rFonts w:ascii="Times New Roman" w:hAnsi="Times New Roman" w:cs="Times New Roman"/>
          <w:sz w:val="28"/>
          <w:szCs w:val="28"/>
        </w:rPr>
        <w:t xml:space="preserve">треннего финансового аудита в отношении вопросов, подлежащих изучению в ходе проведения аудиторского мероприятия, будут получены те же результаты, что и при первичном применении методов внутреннего финансового аудита в отношении этих же вопросов, при этом: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надежность аудиторских доказательств зависит от их характера и источника;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документированные аудиторские доказательства (письменные свидетельства) надежнее, чем устные разъяснения, но надежность документированных аудиторских доказательств может быть разной в зависимости от источника и цели документа;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аудиторские доказательства, полученные из нескольких источников, надежнее, чем полученные из одного источника;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аудиторские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полученные от незаинтересованных сторон (эксперты и (или) лица, располагающие документами и фактическими данными, информацией, необходимыми для проведения аудиторского мероприятия), надежнее, чем полученные от субъектов бюджетных процедур;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аудиторские доказательства, собранные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субъектом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(например, путем наблюдения, пересчета, инспектирования), надежнее, чем полученные косвенным путем (например, путем запроса);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аудиторские доказательства в виде оригиналов документов надежнее, чем их копии.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аудиторские доказательства являются достаточными, если они позволяют с учетом целей и задач ауд</w:t>
      </w:r>
      <w:r>
        <w:rPr>
          <w:rFonts w:ascii="Times New Roman" w:hAnsi="Times New Roman" w:cs="Times New Roman"/>
          <w:sz w:val="28"/>
          <w:szCs w:val="28"/>
        </w:rPr>
        <w:t xml:space="preserve">иторского мероприятия сформировать и обосновать выводы, предложения и рекомендации по результатам аудиторского мероприятия, при этом большой объем (количество) аудиторских доказательств не компенсирует обоснованность и надежность аудиторских доказательств.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Сбор аудиторских доказательств осуществляется путем изучения объектов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объектов внутреннего финансового аудита может осуществляться сплошным или выборочным способом в зависимости от цели (целей) и задач аудиторского мероприятия, хар</w:t>
      </w:r>
      <w:r>
        <w:rPr>
          <w:rFonts w:ascii="Times New Roman" w:hAnsi="Times New Roman" w:cs="Times New Roman"/>
          <w:sz w:val="28"/>
          <w:szCs w:val="28"/>
        </w:rPr>
        <w:t xml:space="preserve">актеристик исследуемых документов и информации, в том числе о бюджетных процедурах и операциях (действиях) по выполнению бюджетной процедуры, а также в зависимости от использования информационных систем для изучения объектов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Аудиторская выборка предназначена для того, чтобы на основании изучения менее чем 100% элементов общего набора операций (действий) по выполнению бюджетной процедуры, документов и информации (далее </w:t>
      </w:r>
      <w:r>
        <w:rPr>
          <w:rFonts w:ascii="Times New Roman" w:hAnsi="Times New Roman" w:cs="Times New Roman"/>
          <w:sz w:val="28"/>
          <w:szCs w:val="28"/>
        </w:rPr>
        <w:t xml:space="preserve">– генеральной совокупности), из которых производится выборка, сделать выводы относительно всей генеральной совокупности.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При проведении аудиторского мероприятия может использоваться статистическая или нестатистическая аудиторская выборка.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Статистическая аудиторская выборка </w:t>
      </w:r>
      <w:r>
        <w:rPr>
          <w:rFonts w:ascii="Times New Roman" w:hAnsi="Times New Roman" w:cs="Times New Roman"/>
          <w:sz w:val="28"/>
          <w:szCs w:val="28"/>
        </w:rPr>
        <w:t xml:space="preserve">– это способ формирования аудиторской выборки, при котором: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элементы для изучения выбираются из генеральной совокупности случайным способом;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для оценки результатов выборки могут использоваться статистические инструменты анализа.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Аудиторская выборка, не соответствующая характеристикам статистической аудиторской выборки, является нестатистической аудиторской выборкой.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Применяемый для изучения объектов внутреннего финансового аудита способ формирования аудиторской выборки должен обеспечить получение обоснованных, надежных и достаточных аудиторских доказательств.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В целях проведения аудиторского мероприятия и с учетом положений </w:t>
      </w:r>
      <w:hyperlink r:id="rId17" w:tooltip="consultantplus://offline/ref=66975A0813F1844CA67A0BDF5C7389FBCEA5673B58E2F505940E89F09A5856C284352B37F4193206AECCCCBD078520200F7311C9B0E1DF5EO6A9F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пунктов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consultantplus://offline/ref=66975A0813F1844CA67A0BDF5C7389FBCEA5673B58E2F505940E89F09A5856C284352B37F4193207AFCCCCBD078520200F7311C9B0E1DF5EO6A9F" w:history="1">
        <w:r>
          <w:rPr>
            <w:rFonts w:ascii="Times New Roman" w:hAnsi="Times New Roman" w:cs="Times New Roman"/>
            <w:sz w:val="28"/>
            <w:szCs w:val="28"/>
          </w:rPr>
          <w:t xml:space="preserve"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стандарта № 195н субъект внутреннего финансового аудита формирует ра</w:t>
      </w:r>
      <w:r>
        <w:rPr>
          <w:rFonts w:ascii="Times New Roman" w:hAnsi="Times New Roman" w:cs="Times New Roman"/>
          <w:sz w:val="28"/>
          <w:szCs w:val="28"/>
        </w:rPr>
        <w:t xml:space="preserve">бочую документацию аудиторского мероприятия, обеспечивает выполнение Программы в соответствии с принципами внутреннего финансового аудита, осуществляя контроль полноты рабочей документации аудиторского мероприятия и достаточности аудиторских доказательств.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6. </w:t>
      </w:r>
      <w:r>
        <w:rPr>
          <w:rFonts w:ascii="Times New Roman" w:hAnsi="Times New Roman" w:cs="Times New Roman"/>
          <w:sz w:val="28"/>
          <w:szCs w:val="28"/>
        </w:rPr>
        <w:t xml:space="preserve">По окончании проведения аудиторского мероприятия и с учетом положений пункта 8 Федерального стандарта № 195н субъект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аудита подписывает заключение, осуществляя контроль полноты отражения результатов проведения аудиторского мероприятия, и представляет заключение министру.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V. Основания и сроки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приостановления и (или) продления аудиторских мероприятий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случаях, когда аудиторские доказательства, полученные из одного источника, не соответствуют аудиторским доказательствам, полученным из другого источника, или надежность информации, полученной в качестве </w:t>
      </w:r>
      <w:r>
        <w:rPr>
          <w:rFonts w:ascii="Times New Roman" w:hAnsi="Times New Roman" w:cs="Times New Roman"/>
          <w:sz w:val="28"/>
          <w:szCs w:val="28"/>
        </w:rPr>
        <w:t xml:space="preserve">аудиторских доказательств, не подтверждена, то субъектом внутреннего финансового аудита должны быть проведены дополнительные профессиональные действия для сбора аудиторских доказательств, а также могут быть подготовлены предложения по внесению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Программу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необходимости), предложения в части приостановления и (или) продления сроков аудиторского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Аудиторское мероприятие может быть неоднократно приостановлено: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наличии на</w:t>
      </w:r>
      <w:r>
        <w:rPr>
          <w:rFonts w:ascii="Times New Roman" w:hAnsi="Times New Roman" w:cs="Times New Roman"/>
          <w:sz w:val="28"/>
          <w:szCs w:val="28"/>
        </w:rPr>
        <w:t xml:space="preserve">рушения требований к бюджетному (бухгалтерскому) учету, в том числе по хранению первичных учетных документов, регистров бухгалтерского учета, бухгалтерской (финансовой) отчетности, которое делает невозможным дальнейшее проведение аудиторского мероприятия,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на период восстановления документов, необходимых для проведения аудиторского мероприятия, а также приведения документов учета и отчетности в состояние, позволяющее проводить их изучение в ходе проведения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 период непредставления (неполного представления) документов и информации или воспрепятствования проведению аудиторского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на период организации и проведения экспертиз, а также исполнения запросов;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 наличии обстоятельств, делающих невозможным дальнейшее проведение аудиторского мероприятия по причинам, не зависящим от субъекта внутреннего финансового аудита, включая наступление обстоятельств непреодолимой силы.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Общий срок приостановлений аудиторского мероприятия не может составлять более одного года. На время приостановления аудиторского мероприятия течение его срока прерывается.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 Основаниями продления срока проведения аудиторского мероприятия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получение в ходе проведения аудиторского мероприятия информации, свидетельствующей о наличии нар</w:t>
      </w:r>
      <w:r>
        <w:rPr>
          <w:rFonts w:ascii="Times New Roman" w:hAnsi="Times New Roman" w:cs="Times New Roman"/>
          <w:sz w:val="28"/>
          <w:szCs w:val="28"/>
        </w:rPr>
        <w:t xml:space="preserve">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наличие обстоятельств, которые делают невозможным дальнейшее проведение аудиторского мероприятия по причинам, не зависящим от уполномоченного должностного лица или членов аудиторской группы, включая наступление обстоятельств непреодолимой силы;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Решение о приостановлении аудиторского мероприятия и (или) о продлении срока проведения аудиторского мероприятия принимается министром, при этом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sz w:val="28"/>
          <w:szCs w:val="28"/>
        </w:rPr>
        <w:t xml:space="preserve"> не вносятся.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VI. Составление и представление заключений.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Представление и рассмотрение возражений по результатам проведенного аудиторского мероприятия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проведенного аудито</w:t>
      </w:r>
      <w:r>
        <w:rPr>
          <w:rFonts w:ascii="Times New Roman" w:hAnsi="Times New Roman" w:cs="Times New Roman"/>
          <w:sz w:val="28"/>
          <w:szCs w:val="28"/>
        </w:rPr>
        <w:t xml:space="preserve">рского мероприятия оформляются з</w:t>
      </w:r>
      <w:r>
        <w:rPr>
          <w:rFonts w:ascii="Times New Roman" w:hAnsi="Times New Roman" w:cs="Times New Roman"/>
          <w:sz w:val="28"/>
          <w:szCs w:val="28"/>
        </w:rPr>
        <w:t xml:space="preserve">аключением, которое должно содержать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тему аудиторского мероприятия;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описание выявленных нарушений и (или) недостатков (в случае их выявления), а также их причин и условий;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выявленных нарушений и (или) недостатков (в случае их выявления), а также их причин и условий;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выводы о достижении цели (целей) осуществления внутреннего финансового аудита, установленной(ых) пунктом 2 статьи 160.2-1 Бюджетного кодекса Российской Федерации и (или) Программой, включая один или несколько из следующих выводов: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 о степени надежности внутреннего финансового контроля;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 о достоверности бюджетно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отчетности, в том числе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качестве финансового менеджмента, в том числе о достижении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пунктом 7 статьи 160.2-1 Бюджетного кодекса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предложения и рекомендации о повышении качества финансового менеджмента, в том числе предложения по мерам минимизации (устранения) бюджетных рисков;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 дату подписания заключения;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 должность, фамилию и инициалы, подпись субъекта внутреннего финансового аудита.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Экземпляр заключения в течение 2 рабочих дней со дня подписания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субъектом внутреннего финансового аудита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передается на ознакомление субъекту бюджетной процедуры.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При наличии возражений и предложений по фактам, указанным в заключении, субъект бюджетной процедуры в течение 5 рабочих дней с даты его получения вправе представить в свободной форме возражения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субъекту внутреннего финансового аудита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бумажном носителе или в электронном виде.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Субъект внутреннего финансового аудита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рассматривает письменные возражения и предложения, полученные от субъекта бюджетных процедур.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 Письменные возражения и предложения субъектов бюджетных процед</w:t>
      </w:r>
      <w:r>
        <w:rPr>
          <w:rFonts w:ascii="Times New Roman" w:hAnsi="Times New Roman" w:cs="Times New Roman"/>
          <w:sz w:val="28"/>
          <w:szCs w:val="28"/>
        </w:rPr>
        <w:t xml:space="preserve">ур, поступившие по результатам проведенного аудиторского мероприятия и после представления заключения министру, рассматриваются субъектом внутреннего финансового аудита и, при необходимости, учитываются в том числе в целях ведения реестра бюджетных рисков.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В течение 5 рабочих дней со дня, следующего за днем получения заключения, субъект бюджетной процедуры обеспечивает разработку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лана мероприятий по реализации предложений и рекомендаций и (или) устранению нарушений (недостатков), выявленных в ходе аудиторского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форме согласно приложению № 2 к настоящему Порядку.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Субъект бюджетной проц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едуры обеспечивает выполнение замечаний и предложений, изложенных в заключении, и в установленные в нем сроки представляет субъекту внутреннего финансового аудита информацию об устранении нарушений (недостатков), выявленных в ходе аудиторского мероприятия.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Подписанный экземпляр заключения с приложением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окументов, указанных в пункте 35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Порядка, направляется министру в течение 15 рабочих дней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Министр рассматривает заключение и принимает одно или несколько решен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предусмотренны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пунктом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17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едерального стандарта № 91н, направленных на повышение качества финансового менеджмента министерства.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Министр вправе принимать решения, направленные на повышение качества финансового менеджмента, на основании информации, как содержащейся в заключениях субъекта внутреннего финансового аудита, так и полученной вне рамок пр</w:t>
      </w:r>
      <w:r>
        <w:rPr>
          <w:rFonts w:ascii="Times New Roman" w:hAnsi="Times New Roman" w:cs="Times New Roman"/>
          <w:sz w:val="28"/>
          <w:szCs w:val="28"/>
        </w:rPr>
        <w:t xml:space="preserve">оведения аудиторских мероприятий, в том числе на основании информации субъекта внутреннего финансового аудита о 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убъект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бюджетных процедур, в целях выполнения решений министра,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также на основании информации о проведении и результатах аудиторского мероприятия, в том числе указанной в аналитических записках субъекта внутреннего финансового аудит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 (обеспечения выполнения),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выполнения бюджетной процедуры и (или) операций (действий) по выполнению бюджетной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процедуры.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решениях, принятых в соответствии с </w:t>
      </w:r>
      <w:hyperlink r:id="rId19" w:tooltip="consultantplus://offline/ref=4AE3F9F6AAD3BBC7EFDDB82D664887D0B4EBDB1343BCD78E0256CE2985469EC38CC82C71DD1F1F74F364838AED0343D3040C71E2E7561411z850I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 xml:space="preserve">41</w:t>
        </w:r>
        <w:r>
          <w:rPr>
            <w:rFonts w:ascii="Times New Roman" w:hAnsi="Times New Roman" w:cs="Times New Roman"/>
            <w:sz w:val="28"/>
            <w:szCs w:val="28"/>
          </w:rPr>
          <w:t xml:space="preserve"> - </w:t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t xml:space="preserve"> Порядка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о принятых</w:t>
      </w:r>
      <w:r>
        <w:rPr>
          <w:rFonts w:ascii="Times New Roman" w:hAnsi="Times New Roman" w:cs="Times New Roman"/>
          <w:sz w:val="28"/>
          <w:szCs w:val="28"/>
        </w:rPr>
        <w:t xml:space="preserve"> (необходимых к принятию) мерах по повышению качества финансового менеджмента обобщается субъектом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VII. Документирование аудиторских мероприятий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lef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При проведении аудиторской проверки формируется рабочая документация, которая ведется и хранится в электронном виде и (или) на бумажных носителях.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Рабочая документация подтверждает, что объекты внутреннего финансового аудита исследованы в соответствии с Программой, собраны аудиторские доказательства (документы, данные, информация), достаточные и уместные для обоснования выводо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в, рекомендаций и формирования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Рабочая документация формируется до окончания аудиторского мероприятия и хранится в архиве субъекта внутреннего финансового аудита.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VIII. Составление и представление годовой отчетности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результатах осуществления внутреннего финансового аудита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Годовая отчетность о результатах деятельности субъекта внутреннего финансового аудита за отчетный год формируется по состоянию на 1 января года, следующего за отчетным годом, подписывается субъектом внутреннего финансового аудита и направляется министру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15 февраля года, следующего за отчетным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Отчетным периодом является календарный год с 1 января по 31 декабря включительно.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Годовая отчетность о результатах деятельности субъекта внутреннего финансового аудита должна содержать информац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ию, предусмотренную пунктом 29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едерального стандарта № 91н.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IX. Реестр бюджетных рисков.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Участие субъектов бюджетных процедур в формировании и ведении (актуализации) реестра бюджетных рисков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center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Оценкой бюджетного 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ска является осуществляемое субъектом внутреннего финансового аудита и субъектами бюджетных процедур выявление (обнаружение) бюджетного риска и определение значимости (уровня) бюджетного риска с применением критериев вероятности и степени влияния,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актуализация значимости (уровня) выявленных (обнаруженных) бюджетных рисков по результатам анализа имеющихся причин и условий (обстоятельств) для реализации бюджетного риска и возможных последствий реализации бюджетного риска.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сбора и анализа информации о бюджетных рисках и их оценки ведется реестр бюджетных рисков министерства, содержащий следующую информацию: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наименование операций (действий) по выполнению бюджетной процедуры, в которых выявлен бюджетный риск;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описание выявленного бюджетного риска и его причин;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возможные последствия реализации бюджетного риска;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значимость (уровень) бюджетного риска (в том числе оценка вероятности и степени влияния бюджетного риска);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владельцы бюджетного риска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(или) структурные подразделения (подразделения в составе этих структурных подразделений)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ответственные за выполнение (результаты выполнения) бюджетной процедуры, операции (действия) по выполнению бюджетной процедуры, в рамках которой выявлен бюджетный риск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меры по минимизации (устранению) бюджетных рисков (при необходимости принятия) и приоритетность их принятия.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реестр бюджетных рисков включаются операции (действия) по выполнению бюджетной процедуры как со значимыми бюджетными рисками, так и с</w:t>
      </w:r>
      <w:r>
        <w:rPr>
          <w:rFonts w:ascii="Times New Roman" w:hAnsi="Times New Roman" w:cs="Times New Roman"/>
          <w:sz w:val="28"/>
          <w:szCs w:val="28"/>
        </w:rPr>
        <w:t xml:space="preserve"> незначимыми</w:t>
      </w:r>
      <w:r>
        <w:rPr>
          <w:rFonts w:ascii="Times New Roman" w:hAnsi="Times New Roman" w:cs="Times New Roman"/>
          <w:sz w:val="28"/>
          <w:szCs w:val="28"/>
        </w:rPr>
        <w:t xml:space="preserve"> бюджетными рисками с обеспечением</w:t>
      </w:r>
      <w:r>
        <w:rPr>
          <w:rFonts w:ascii="Times New Roman" w:hAnsi="Times New Roman" w:cs="Times New Roman"/>
          <w:sz w:val="28"/>
          <w:szCs w:val="28"/>
        </w:rPr>
        <w:t xml:space="preserve">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ранжирования бюджетных рисков по значимости (уровню) от наиболее значимого к наименее значимому (незначимому) бюджетному риску, а также возможность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актуализации реестра бюджетных рисков.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Переоценка (определение значимости) бюджетных рисков, включенных в реестр бюджетных рисков, а также выявление бюджетных рисков, присущих текущему и очередному финансовому году, в целях их включения в реестр бюджетных рисков или в целях актуализации реест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 бюджетных рисков проводится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убъектами бюджетных 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цедур не реже одного раза в год.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Субъект внутреннего финансового аудита рассматривает предло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жения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убъектов бюджетных процедур по формированию (актуализации) реестра бюджетных рисков, оценивает бюджетные риски и способы их минимизации, выявленные в ходе проведения аудиторских мероприятий, анализирует выявленные нару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шения (недостатки) и формирует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реестр бюджетных рисков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инистерства в срок не позднее 25 декабря текущего финансового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мерам по минимизации (устранению) бюджетных рисков относятся конкретные, достижимые и имеющие срок выполнения действия, направленные на снижение вероятности и (или) степени влияния бюджетного риска, устранение его причин, в том числе контрольные 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6221641"/>
      <w:docPartObj>
        <w:docPartGallery w:val="Page Numbers (Top of Page)"/>
        <w:docPartUnique w:val="true"/>
      </w:docPartObj>
      <w:rPr/>
    </w:sdtPr>
    <w:sdtContent>
      <w:p>
        <w:pPr>
          <w:pStyle w:val="910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11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1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6"/>
    <w:next w:val="906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7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7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7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7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7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7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7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7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6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6"/>
    <w:next w:val="90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7"/>
    <w:link w:val="750"/>
    <w:uiPriority w:val="10"/>
    <w:rPr>
      <w:sz w:val="48"/>
      <w:szCs w:val="48"/>
    </w:rPr>
  </w:style>
  <w:style w:type="paragraph" w:styleId="752">
    <w:name w:val="Subtitle"/>
    <w:basedOn w:val="906"/>
    <w:next w:val="906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7"/>
    <w:link w:val="752"/>
    <w:uiPriority w:val="11"/>
    <w:rPr>
      <w:sz w:val="24"/>
      <w:szCs w:val="24"/>
    </w:rPr>
  </w:style>
  <w:style w:type="paragraph" w:styleId="754">
    <w:name w:val="Quote"/>
    <w:basedOn w:val="906"/>
    <w:next w:val="906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6"/>
    <w:next w:val="906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7"/>
    <w:link w:val="910"/>
    <w:uiPriority w:val="99"/>
  </w:style>
  <w:style w:type="character" w:styleId="759">
    <w:name w:val="Footer Char"/>
    <w:basedOn w:val="907"/>
    <w:link w:val="912"/>
    <w:uiPriority w:val="99"/>
  </w:style>
  <w:style w:type="paragraph" w:styleId="760">
    <w:name w:val="Caption"/>
    <w:basedOn w:val="906"/>
    <w:next w:val="9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2"/>
    <w:uiPriority w:val="99"/>
  </w:style>
  <w:style w:type="table" w:styleId="762">
    <w:name w:val="Table Grid"/>
    <w:basedOn w:val="9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2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3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4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5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6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7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9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0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1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2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3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4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6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7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8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9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0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1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basedOn w:val="907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basedOn w:val="907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qFormat/>
    <w:pPr>
      <w:jc w:val="both"/>
      <w:spacing w:after="0" w:line="240" w:lineRule="auto"/>
    </w:pPr>
  </w:style>
  <w:style w:type="character" w:styleId="907" w:default="1">
    <w:name w:val="Default Paragraph Font"/>
    <w:uiPriority w:val="1"/>
    <w:semiHidden/>
    <w:unhideWhenUsed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>
    <w:name w:val="Header"/>
    <w:basedOn w:val="906"/>
    <w:link w:val="9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907"/>
    <w:link w:val="910"/>
    <w:uiPriority w:val="99"/>
  </w:style>
  <w:style w:type="paragraph" w:styleId="912">
    <w:name w:val="Footer"/>
    <w:basedOn w:val="906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907"/>
    <w:link w:val="912"/>
    <w:uiPriority w:val="99"/>
  </w:style>
  <w:style w:type="paragraph" w:styleId="914">
    <w:name w:val="Balloon Text"/>
    <w:basedOn w:val="906"/>
    <w:link w:val="9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basedOn w:val="907"/>
    <w:link w:val="914"/>
    <w:uiPriority w:val="99"/>
    <w:semiHidden/>
    <w:rPr>
      <w:rFonts w:ascii="Segoe UI" w:hAnsi="Segoe UI" w:cs="Segoe UI"/>
      <w:sz w:val="18"/>
      <w:szCs w:val="18"/>
    </w:rPr>
  </w:style>
  <w:style w:type="character" w:styleId="916">
    <w:name w:val="annotation reference"/>
    <w:basedOn w:val="907"/>
    <w:uiPriority w:val="99"/>
    <w:semiHidden/>
    <w:unhideWhenUsed/>
    <w:rPr>
      <w:sz w:val="16"/>
      <w:szCs w:val="16"/>
    </w:rPr>
  </w:style>
  <w:style w:type="paragraph" w:styleId="917">
    <w:name w:val="annotation text"/>
    <w:basedOn w:val="906"/>
    <w:link w:val="918"/>
    <w:uiPriority w:val="99"/>
    <w:semiHidden/>
    <w:unhideWhenUsed/>
    <w:rPr>
      <w:sz w:val="20"/>
      <w:szCs w:val="20"/>
    </w:rPr>
  </w:style>
  <w:style w:type="character" w:styleId="918" w:customStyle="1">
    <w:name w:val="Текст примечания Знак"/>
    <w:basedOn w:val="907"/>
    <w:link w:val="917"/>
    <w:uiPriority w:val="99"/>
    <w:semiHidden/>
    <w:rPr>
      <w:sz w:val="20"/>
      <w:szCs w:val="20"/>
    </w:rPr>
  </w:style>
  <w:style w:type="paragraph" w:styleId="919">
    <w:name w:val="annotation subject"/>
    <w:basedOn w:val="917"/>
    <w:next w:val="917"/>
    <w:link w:val="920"/>
    <w:uiPriority w:val="99"/>
    <w:semiHidden/>
    <w:unhideWhenUsed/>
    <w:rPr>
      <w:b/>
      <w:bCs/>
    </w:rPr>
  </w:style>
  <w:style w:type="character" w:styleId="920" w:customStyle="1">
    <w:name w:val="Тема примечания Знак"/>
    <w:basedOn w:val="918"/>
    <w:link w:val="91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consultantplus://offline/ref=71D001614273C5AD3F11F81491F15E70C7CF9112A6C28E335F1A5FE9A0D9025ABF63840809606545E5D4D58B04422C49C05D7AC3DF3CI0s3C" TargetMode="External"/><Relationship Id="rId16" Type="http://schemas.openxmlformats.org/officeDocument/2006/relationships/hyperlink" Target="consultantplus://offline/ref=1AFF47DAA21416659D09DD28875DA4AF4FDB5D05AF535C8E5DE48C9CD4CF99BDB52F800959D28AC55A0C5D97C98DF52654C4B5B60F15eDAAE" TargetMode="External"/><Relationship Id="rId17" Type="http://schemas.openxmlformats.org/officeDocument/2006/relationships/hyperlink" Target="consultantplus://offline/ref=66975A0813F1844CA67A0BDF5C7389FBCEA5673B58E2F505940E89F09A5856C284352B37F4193206AECCCCBD078520200F7311C9B0E1DF5EO6A9F" TargetMode="External"/><Relationship Id="rId18" Type="http://schemas.openxmlformats.org/officeDocument/2006/relationships/hyperlink" Target="consultantplus://offline/ref=66975A0813F1844CA67A0BDF5C7389FBCEA5673B58E2F505940E89F09A5856C284352B37F4193207AFCCCCBD078520200F7311C9B0E1DF5EO6A9F" TargetMode="External"/><Relationship Id="rId19" Type="http://schemas.openxmlformats.org/officeDocument/2006/relationships/hyperlink" Target="consultantplus://offline/ref=4AE3F9F6AAD3BBC7EFDDB82D664887D0B4EBDB1343BCD78E0256CE2985469EC38CC82C71DD1F1F74F364838AED0343D3040C71E2E7561411z850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3F64-DAF9-484F-A06E-529143EF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Кадникова Марина Ивановна</dc:creator>
  <cp:keywords/>
  <dc:description/>
  <cp:revision>201</cp:revision>
  <dcterms:created xsi:type="dcterms:W3CDTF">2023-12-26T04:15:00Z</dcterms:created>
  <dcterms:modified xsi:type="dcterms:W3CDTF">2024-02-22T06:02:30Z</dcterms:modified>
</cp:coreProperties>
</file>