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left"/>
        <w:rPr>
          <w:color w:val="000000"/>
          <w:sz w:val="28"/>
          <w:szCs w:val="28"/>
          <w:highlight w:val="none"/>
        </w:rPr>
      </w:pPr>
      <w:r>
        <w:rPr>
          <w:color w:val="000000"/>
          <w:sz w:val="28"/>
          <w:szCs w:val="28"/>
          <w:highlight w:val="none"/>
        </w:rPr>
      </w:r>
      <w:r>
        <w:rPr>
          <w:color w:val="000000"/>
          <w:sz w:val="28"/>
          <w:szCs w:val="28"/>
          <w:highlight w:val="none"/>
        </w:rPr>
      </w:r>
    </w:p>
    <w:p>
      <w:pPr>
        <w:jc w:val="left"/>
        <w:rPr>
          <w:color w:val="000000"/>
          <w:sz w:val="28"/>
          <w:szCs w:val="28"/>
          <w:highlight w:val="none"/>
        </w:rPr>
      </w:pPr>
      <w:r>
        <w:rPr>
          <w:color w:val="000000"/>
          <w:sz w:val="28"/>
          <w:szCs w:val="28"/>
          <w:highlight w:val="none"/>
        </w:rPr>
      </w:r>
      <w:r>
        <w:rPr>
          <w:color w:val="000000"/>
          <w:sz w:val="28"/>
          <w:szCs w:val="28"/>
          <w:highlight w:val="none"/>
        </w:rPr>
      </w:r>
    </w:p>
    <w:p>
      <w:pPr>
        <w:jc w:val="left"/>
        <w:rPr>
          <w:color w:val="000000"/>
          <w:sz w:val="28"/>
          <w:szCs w:val="28"/>
          <w:highlight w:val="none"/>
        </w:rPr>
      </w:pPr>
      <w:r>
        <w:rPr>
          <w:color w:val="000000"/>
          <w:sz w:val="28"/>
          <w:szCs w:val="28"/>
          <w:highlight w:val="none"/>
        </w:rPr>
      </w:r>
      <w:r>
        <w:rPr>
          <w:color w:val="000000"/>
          <w:sz w:val="28"/>
          <w:szCs w:val="28"/>
          <w:highlight w:val="none"/>
        </w:rPr>
      </w:r>
    </w:p>
    <w:p>
      <w:pPr>
        <w:jc w:val="left"/>
        <w:rPr>
          <w:color w:val="000000"/>
          <w:sz w:val="28"/>
          <w:szCs w:val="28"/>
          <w:highlight w:val="none"/>
        </w:rPr>
      </w:pPr>
      <w:r>
        <w:rPr>
          <w:color w:val="000000"/>
          <w:sz w:val="28"/>
          <w:szCs w:val="28"/>
          <w:highlight w:val="none"/>
        </w:rPr>
      </w:r>
      <w:r>
        <w:rPr>
          <w:color w:val="000000"/>
          <w:sz w:val="28"/>
          <w:szCs w:val="28"/>
          <w:highlight w:val="none"/>
        </w:rPr>
      </w:r>
    </w:p>
    <w:p>
      <w:pPr>
        <w:jc w:val="left"/>
        <w:rPr>
          <w:color w:val="000000"/>
          <w:sz w:val="28"/>
          <w:szCs w:val="28"/>
          <w:highlight w:val="none"/>
        </w:rPr>
      </w:pPr>
      <w:r>
        <w:rPr>
          <w:color w:val="000000"/>
          <w:sz w:val="28"/>
          <w:szCs w:val="28"/>
          <w:highlight w:val="none"/>
        </w:rPr>
      </w:r>
      <w:r>
        <w:rPr>
          <w:color w:val="000000"/>
          <w:sz w:val="28"/>
          <w:szCs w:val="28"/>
          <w:highlight w:val="none"/>
        </w:rPr>
      </w:r>
    </w:p>
    <w:p>
      <w:pPr>
        <w:jc w:val="left"/>
        <w:rPr>
          <w:color w:val="000000"/>
          <w:sz w:val="28"/>
          <w:szCs w:val="28"/>
          <w:highlight w:val="none"/>
        </w:rPr>
      </w:pPr>
      <w:r>
        <w:rPr>
          <w:color w:val="000000"/>
          <w:sz w:val="28"/>
          <w:szCs w:val="28"/>
          <w:highlight w:val="none"/>
        </w:rPr>
      </w:r>
      <w:r>
        <w:rPr>
          <w:color w:val="000000"/>
          <w:sz w:val="28"/>
          <w:szCs w:val="28"/>
          <w:highlight w:val="none"/>
        </w:rPr>
      </w:r>
    </w:p>
    <w:p>
      <w:pPr>
        <w:jc w:val="left"/>
        <w:rPr>
          <w:color w:val="000000"/>
          <w:sz w:val="28"/>
          <w:szCs w:val="28"/>
          <w:highlight w:val="none"/>
        </w:rPr>
      </w:pPr>
      <w:r>
        <w:rPr>
          <w:color w:val="000000"/>
          <w:sz w:val="28"/>
          <w:szCs w:val="28"/>
          <w:highlight w:val="none"/>
        </w:rPr>
      </w:r>
      <w:r>
        <w:rPr>
          <w:color w:val="000000"/>
          <w:sz w:val="28"/>
          <w:szCs w:val="28"/>
          <w:highlight w:val="none"/>
        </w:rPr>
      </w:r>
    </w:p>
    <w:p>
      <w:pPr>
        <w:jc w:val="left"/>
        <w:rPr>
          <w:color w:val="000000"/>
          <w:sz w:val="28"/>
          <w:szCs w:val="28"/>
          <w:highlight w:val="none"/>
        </w:rPr>
      </w:pPr>
      <w:r>
        <w:rPr>
          <w:color w:val="000000"/>
          <w:sz w:val="28"/>
          <w:szCs w:val="28"/>
          <w:highlight w:val="none"/>
        </w:rPr>
      </w:r>
      <w:r>
        <w:rPr>
          <w:color w:val="000000"/>
          <w:sz w:val="28"/>
          <w:szCs w:val="28"/>
          <w:highlight w:val="none"/>
        </w:rPr>
      </w:r>
    </w:p>
    <w:p>
      <w:pPr>
        <w:jc w:val="left"/>
        <w:rPr>
          <w:color w:val="000000"/>
          <w:sz w:val="28"/>
          <w:szCs w:val="28"/>
          <w:highlight w:val="none"/>
        </w:rPr>
      </w:pPr>
      <w:r>
        <w:rPr>
          <w:color w:val="000000"/>
          <w:sz w:val="28"/>
          <w:szCs w:val="28"/>
          <w:highlight w:val="none"/>
        </w:rPr>
      </w:r>
      <w:r>
        <w:rPr>
          <w:color w:val="000000"/>
          <w:sz w:val="28"/>
          <w:szCs w:val="28"/>
          <w:highlight w:val="none"/>
        </w:rPr>
      </w:r>
    </w:p>
    <w:p>
      <w:pPr>
        <w:jc w:val="left"/>
        <w:rPr>
          <w:color w:val="000000"/>
          <w:sz w:val="28"/>
          <w:szCs w:val="28"/>
          <w:highlight w:val="none"/>
        </w:rPr>
      </w:pPr>
      <w:r>
        <w:rPr>
          <w:color w:val="000000"/>
          <w:sz w:val="28"/>
          <w:szCs w:val="28"/>
          <w:highlight w:val="none"/>
        </w:rPr>
      </w:r>
      <w:r>
        <w:rPr>
          <w:color w:val="000000"/>
          <w:sz w:val="28"/>
          <w:szCs w:val="28"/>
          <w:highlight w:val="none"/>
        </w:rPr>
      </w:r>
    </w:p>
    <w:p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постановлению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Правительства Новосибирской области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left"/>
        <w:rPr>
          <w:color w:val="000000"/>
          <w:sz w:val="28"/>
          <w:szCs w:val="28"/>
          <w:highlight w:val="none"/>
        </w:rPr>
      </w:pPr>
      <w:r>
        <w:rPr>
          <w:color w:val="000000"/>
          <w:sz w:val="28"/>
          <w:szCs w:val="28"/>
          <w:highlight w:val="none"/>
        </w:rPr>
      </w:r>
      <w:r>
        <w:rPr>
          <w:color w:val="000000"/>
          <w:sz w:val="28"/>
          <w:szCs w:val="28"/>
          <w:highlight w:val="none"/>
        </w:rPr>
      </w:r>
    </w:p>
    <w:p>
      <w:pPr>
        <w:jc w:val="center"/>
        <w:rPr>
          <w:color w:val="000000"/>
          <w:sz w:val="28"/>
          <w:szCs w:val="28"/>
          <w:highlight w:val="none"/>
        </w:rPr>
      </w:pPr>
      <w:r>
        <w:rPr>
          <w:color w:val="000000"/>
          <w:sz w:val="28"/>
          <w:szCs w:val="28"/>
        </w:rPr>
        <w:t xml:space="preserve">«</w:t>
      </w:r>
      <w:r>
        <w:rPr>
          <w:color w:val="000000"/>
          <w:sz w:val="28"/>
          <w:szCs w:val="28"/>
        </w:rPr>
        <w:t xml:space="preserve">ПРИЛОЖЕНИЕ № 1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  <w:highlight w:val="none"/>
        </w:rPr>
      </w:r>
    </w:p>
    <w:p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постановлению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Правительства Новосибирской области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от 29.03.2023 № 135-п</w:t>
      </w:r>
      <w:r>
        <w:rPr>
          <w:rFonts w:eastAsiaTheme="minorHAnsi"/>
          <w:sz w:val="28"/>
          <w:szCs w:val="28"/>
          <w:lang w:eastAsia="en-US"/>
        </w:rPr>
      </w:r>
      <w:r>
        <w:rPr>
          <w:rFonts w:eastAsiaTheme="minorHAnsi"/>
          <w:sz w:val="28"/>
          <w:szCs w:val="28"/>
          <w:lang w:eastAsia="en-US"/>
        </w:rPr>
      </w:r>
    </w:p>
    <w:p>
      <w:pPr>
        <w:jc w:val="center"/>
        <w:rPr>
          <w:color w:val="000000"/>
          <w:sz w:val="28"/>
          <w:szCs w:val="28"/>
        </w:rPr>
        <w:sectPr>
          <w:headerReference w:type="default" r:id="rId8"/>
          <w:headerReference w:type="first" r:id="rId9"/>
          <w:footerReference w:type="first" r:id="rId10"/>
          <w:footnotePr/>
          <w:endnotePr/>
          <w:type w:val="continuous"/>
          <w:pgSz w:w="11906" w:h="16838" w:orient="portrait"/>
          <w:pgMar w:top="1134" w:right="567" w:bottom="1134" w:left="1418" w:header="709" w:footer="709" w:gutter="0"/>
          <w:cols w:num="2" w:sep="0" w:space="709" w:equalWidth="1"/>
          <w:docGrid w:linePitch="360"/>
          <w:titlePg/>
        </w:sect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СВЕДЕНИЯ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о местоположении, площади и границах </w:t>
      </w:r>
      <w:r>
        <w:rPr>
          <w:b/>
          <w:bCs/>
          <w:sz w:val="28"/>
          <w:szCs w:val="28"/>
        </w:rPr>
        <w:t xml:space="preserve">незастроенной территории</w:t>
      </w:r>
      <w:r>
        <w:t xml:space="preserve"> </w:t>
      </w:r>
      <w:r>
        <w:rPr>
          <w:b/>
          <w:sz w:val="28"/>
          <w:szCs w:val="28"/>
        </w:rPr>
        <w:t xml:space="preserve">«Территория инновационной и научно-образовательной деятельности «</w:t>
      </w:r>
      <w:r>
        <w:rPr>
          <w:b/>
          <w:sz w:val="28"/>
          <w:szCs w:val="28"/>
        </w:rPr>
        <w:t xml:space="preserve">СмартСити</w:t>
      </w:r>
      <w:r>
        <w:rPr>
          <w:b/>
          <w:sz w:val="28"/>
          <w:szCs w:val="28"/>
        </w:rPr>
        <w:t xml:space="preserve">-Новосибирск</w:t>
      </w:r>
      <w:r>
        <w:rPr>
          <w:b/>
          <w:sz w:val="28"/>
          <w:szCs w:val="28"/>
        </w:rPr>
        <w:t xml:space="preserve">»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1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Графическое описание местоположения границ территории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Местоположение: </w:t>
      </w:r>
      <w:r>
        <w:rPr>
          <w:sz w:val="28"/>
          <w:szCs w:val="28"/>
        </w:rPr>
        <w:t xml:space="preserve">Российская Федерация, Новосибирская область, город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Новосибирск, ул. Тимакова в Советском районе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Кадастровы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 квартал</w:t>
      </w:r>
      <w:r>
        <w:rPr>
          <w:sz w:val="28"/>
          <w:szCs w:val="28"/>
        </w:rPr>
        <w:t xml:space="preserve">ы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54:35:091002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54:35:091040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  <wp:simplePos x="0" y="0"/>
                <wp:positionH relativeFrom="column">
                  <wp:posOffset>540067</wp:posOffset>
                </wp:positionH>
                <wp:positionV relativeFrom="paragraph">
                  <wp:posOffset>285080</wp:posOffset>
                </wp:positionV>
                <wp:extent cx="4970802" cy="3807225"/>
                <wp:effectExtent l="6350" t="6350" r="6350" b="635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24674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11945" t="28891" r="7316" b="27343"/>
                        <a:stretch/>
                      </pic:blipFill>
                      <pic:spPr bwMode="auto">
                        <a:xfrm flipH="0" flipV="0">
                          <a:off x="0" y="0"/>
                          <a:ext cx="4970802" cy="3807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048;o:allowoverlap:true;o:allowincell:true;mso-position-horizontal-relative:text;margin-left:42.52pt;mso-position-horizontal:absolute;mso-position-vertical-relative:text;margin-top:22.45pt;mso-position-vertical:absolute;width:391.40pt;height:299.78pt;mso-wrap-distance-left:9.07pt;mso-wrap-distance-top:0.00pt;mso-wrap-distance-right:9.07pt;mso-wrap-distance-bottom:0.00pt;" wrapcoords="0 0 100000 0 100000 100000 0 100000" stroked="f">
                <v:path textboxrect="0,0,0,0"/>
                <w10:wrap type="through"/>
                <v:imagedata r:id="rId12" o:title=""/>
              </v:shape>
            </w:pict>
          </mc:Fallback>
        </mc:AlternateConten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лощадь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1 799 325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. м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</w:pPr>
      <w:r/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>
        <w:rPr>
          <w:rStyle w:val="837"/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jc w:val="center"/>
        <w:spacing w:line="240" w:lineRule="atLeast"/>
        <w:rPr>
          <w:rStyle w:val="837"/>
          <w:sz w:val="20"/>
          <w:szCs w:val="20"/>
          <w:highlight w:val="none"/>
        </w:rPr>
      </w:pPr>
      <w:r/>
      <w:r>
        <w:rPr>
          <w:rStyle w:val="837"/>
          <w:sz w:val="20"/>
          <w:szCs w:val="20"/>
        </w:rPr>
        <w:t xml:space="preserve">Масштаб 1:</w:t>
      </w:r>
      <w:r>
        <w:rPr>
          <w:rStyle w:val="837"/>
          <w:sz w:val="20"/>
          <w:szCs w:val="20"/>
        </w:rPr>
        <w:t xml:space="preserve">20</w:t>
      </w:r>
      <w:r>
        <w:rPr>
          <w:rStyle w:val="837"/>
          <w:sz w:val="20"/>
          <w:szCs w:val="20"/>
        </w:rPr>
        <w:t xml:space="preserve"> </w:t>
      </w:r>
      <w:r>
        <w:rPr>
          <w:rStyle w:val="837"/>
          <w:sz w:val="20"/>
          <w:szCs w:val="20"/>
        </w:rPr>
        <w:t xml:space="preserve">00</w:t>
      </w:r>
      <w:r>
        <w:rPr>
          <w:rStyle w:val="837"/>
          <w:sz w:val="20"/>
          <w:szCs w:val="20"/>
        </w:rPr>
        <w:t xml:space="preserve">0</w:t>
      </w:r>
      <w:r>
        <w:rPr>
          <w:rStyle w:val="837"/>
          <w:sz w:val="20"/>
          <w:szCs w:val="20"/>
        </w:rPr>
        <w:t xml:space="preserve"> </w:t>
      </w: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424"/>
        <w:jc w:val="center"/>
        <w:spacing w:after="2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Условные обозначения:</w:t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W w:w="10349" w:type="dxa"/>
        <w:tblInd w:w="-256" w:type="dxa"/>
        <w:tblLook w:val="04A0" w:firstRow="1" w:lastRow="0" w:firstColumn="1" w:lastColumn="0" w:noHBand="0" w:noVBand="1"/>
      </w:tblPr>
      <w:tblGrid>
        <w:gridCol w:w="1844"/>
        <w:gridCol w:w="8505"/>
      </w:tblGrid>
      <w:tr>
        <w:tblPrEx/>
        <w:trPr>
          <w:trHeight w:val="526"/>
        </w:trPr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1844" w:type="dxa"/>
            <w:vAlign w:val="center"/>
            <w:textDirection w:val="lrTb"/>
            <w:noWrap w:val="false"/>
          </w:tcPr>
          <w:p>
            <w:pPr>
              <w:ind w:right="424"/>
              <w:rPr>
                <w:rFonts w:ascii="Arial" w:hAnsi="Arial" w:cs="Arial"/>
                <w:sz w:val="22"/>
                <w:szCs w:val="22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12700</wp:posOffset>
                      </wp:positionV>
                      <wp:extent cx="845820" cy="180340"/>
                      <wp:effectExtent l="0" t="0" r="11430" b="10160"/>
                      <wp:wrapNone/>
                      <wp:docPr id="2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820" cy="180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1" o:spid="_x0000_s1" o:spt="1" type="#_x0000_t1" style="position:absolute;z-index:251656192;o:allowoverlap:true;o:allowincell:true;mso-position-horizontal-relative:text;margin-left:13.85pt;mso-position-horizontal:absolute;mso-position-vertical-relative:text;margin-top:1.00pt;mso-position-vertical:absolute;width:66.60pt;height:14.20pt;mso-wrap-distance-left:9.00pt;mso-wrap-distance-top:0.00pt;mso-wrap-distance-right:9.00pt;mso-wrap-distance-bottom:0.00pt;visibility:visible;" fillcolor="#FFFFFF" strokecolor="#C00000" strokeweight="1.50pt"/>
                  </w:pict>
                </mc:Fallback>
              </mc:AlternateConten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8505" w:type="dxa"/>
            <w:vAlign w:val="center"/>
            <w:textDirection w:val="lrTb"/>
            <w:noWrap w:val="false"/>
          </w:tcPr>
          <w:p>
            <w:pPr>
              <w:ind w:right="4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</w:t>
            </w:r>
            <w:r>
              <w:rPr>
                <w:sz w:val="22"/>
                <w:szCs w:val="22"/>
              </w:rPr>
              <w:t xml:space="preserve">раницы </w:t>
            </w:r>
            <w:r>
              <w:rPr>
                <w:sz w:val="22"/>
                <w:szCs w:val="22"/>
              </w:rPr>
              <w:t xml:space="preserve">земельных участков, сведения о которых содержатся в Едином государственном реестре недвижимости</w:t>
            </w:r>
            <w:r>
              <w:rPr>
                <w:sz w:val="22"/>
                <w:szCs w:val="22"/>
              </w:rPr>
              <w:t xml:space="preserve">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568"/>
        </w:trPr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1844" w:type="dxa"/>
            <w:vAlign w:val="center"/>
            <w:textDirection w:val="lrTb"/>
            <w:noWrap w:val="false"/>
          </w:tcPr>
          <w:p>
            <w:pPr>
              <w:ind w:right="424"/>
              <w:rPr>
                <w:rFonts w:ascii="Arial" w:hAnsi="Arial" w:cs="Arial"/>
                <w:sz w:val="22"/>
                <w:szCs w:val="22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-10795</wp:posOffset>
                      </wp:positionV>
                      <wp:extent cx="845820" cy="180340"/>
                      <wp:effectExtent l="19050" t="19050" r="11430" b="10160"/>
                      <wp:wrapNone/>
                      <wp:docPr id="3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820" cy="180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2" o:spid="_x0000_s2" o:spt="1" type="#_x0000_t1" style="position:absolute;z-index:251660288;o:allowoverlap:true;o:allowincell:true;mso-position-horizontal-relative:text;margin-left:14.15pt;mso-position-horizontal:absolute;mso-position-vertical-relative:text;margin-top:-0.85pt;mso-position-vertical:absolute;width:66.60pt;height:14.20pt;mso-wrap-distance-left:9.00pt;mso-wrap-distance-top:0.00pt;mso-wrap-distance-right:9.00pt;mso-wrap-distance-bottom:0.00pt;visibility:visible;" fillcolor="#FFFFFF" strokecolor="#0000FF" strokeweight="2.25pt"/>
                  </w:pict>
                </mc:Fallback>
              </mc:AlternateConten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8505" w:type="dxa"/>
            <w:vAlign w:val="center"/>
            <w:textDirection w:val="lrTb"/>
            <w:noWrap w:val="false"/>
          </w:tcPr>
          <w:p>
            <w:pPr>
              <w:ind w:right="4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</w:t>
            </w:r>
            <w:r>
              <w:rPr>
                <w:sz w:val="22"/>
                <w:szCs w:val="22"/>
              </w:rPr>
              <w:t xml:space="preserve">раница </w:t>
            </w:r>
            <w:r>
              <w:rPr>
                <w:sz w:val="22"/>
                <w:szCs w:val="22"/>
              </w:rPr>
              <w:t xml:space="preserve">незастроенной </w:t>
            </w:r>
            <w:r>
              <w:rPr>
                <w:sz w:val="22"/>
                <w:szCs w:val="22"/>
              </w:rPr>
              <w:t xml:space="preserve">территории, подлежащей комплексному развитию</w:t>
            </w:r>
            <w:r>
              <w:rPr>
                <w:sz w:val="22"/>
                <w:szCs w:val="22"/>
              </w:rPr>
              <w:t xml:space="preserve">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643"/>
        </w:trPr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1844" w:type="dxa"/>
            <w:vAlign w:val="center"/>
            <w:textDirection w:val="lrTb"/>
            <w:noWrap w:val="false"/>
          </w:tcPr>
          <w:p>
            <w:pPr>
              <w:ind w:right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-15240</wp:posOffset>
                      </wp:positionV>
                      <wp:extent cx="866775" cy="200025"/>
                      <wp:effectExtent l="0" t="0" r="28575" b="28575"/>
                      <wp:wrapNone/>
                      <wp:docPr id="4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8667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400"/>
                              </a:solidFill>
                              <a:ln w="12700">
                                <a:solidFill>
                                  <a:srgbClr val="0050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13.90pt;mso-position-horizontal:absolute;mso-position-vertical-relative:text;margin-top:-1.20pt;mso-position-vertical:absolute;width:68.25pt;height:15.75pt;mso-wrap-distance-left:9.00pt;mso-wrap-distance-top:0.00pt;mso-wrap-distance-right:9.00pt;mso-wrap-distance-bottom:0.00pt;visibility:visible;" fillcolor="#00A400" strokecolor="#005028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8505" w:type="dxa"/>
            <w:vAlign w:val="center"/>
            <w:textDirection w:val="lrTb"/>
            <w:noWrap w:val="false"/>
          </w:tcPr>
          <w:p>
            <w:pPr>
              <w:ind w:right="4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Территория городских лесов, подлежащая благоустройству 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ind w:right="4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(капитальное строительство не предусмотрено)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</w:tbl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2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земельных участков в границах территории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</w:r>
    </w:p>
    <w:tbl>
      <w:tblPr>
        <w:tblW w:w="9923" w:type="dxa"/>
        <w:tblInd w:w="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1417"/>
        <w:gridCol w:w="5812"/>
      </w:tblGrid>
      <w:tr>
        <w:tblPrEx/>
        <w:trPr>
          <w:trHeight w:val="64"/>
          <w:tblHeader/>
        </w:trPr>
        <w:tc>
          <w:tcPr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п/п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Кадастровый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номер земельного участка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Площадь земельного участка</w:t>
            </w:r>
            <w:r>
              <w:rPr>
                <w:sz w:val="24"/>
                <w:szCs w:val="24"/>
              </w:rPr>
              <w:t xml:space="preserve"> (части)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кв. м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581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Адрес земельного участка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(местоположение)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64"/>
          <w:tblHeader/>
        </w:trPr>
        <w:tc>
          <w:tcPr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100" w:beforeAutospacing="1" w:after="100" w:afterAutospacing="1"/>
            </w:pPr>
            <w:r>
              <w:t xml:space="preserve">1</w:t>
            </w:r>
            <w:r/>
          </w:p>
        </w:tc>
        <w:tc>
          <w:tcPr>
            <w:tcW w:w="212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shd w:val="clear" w:color="auto" w:fill="auto"/>
            <w:tcW w:w="581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</w:p>
        </w:tc>
      </w:tr>
      <w:tr>
        <w:tblPrEx/>
        <w:trPr>
          <w:trHeight w:val="475"/>
          <w:tblHeader/>
        </w:trPr>
        <w:tc>
          <w:tcPr>
            <w:tcBorders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1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54:35:000000:11905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5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66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 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0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9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0</w:t>
            </w:r>
            <w:r>
              <w:rPr>
                <w:rFonts w:eastAsia="Batang"/>
                <w:sz w:val="24"/>
                <w:szCs w:val="24"/>
              </w:rPr>
            </w:r>
            <w:r>
              <w:rPr>
                <w:rFonts w:eastAsia="Batang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5812" w:type="dxa"/>
            <w:vAlign w:val="center"/>
            <w:textDirection w:val="lrTb"/>
            <w:noWrap w:val="false"/>
          </w:tcPr>
          <w:p>
            <w:r>
              <w:t xml:space="preserve">Новосибирская область, г Новосибирск, ул</w:t>
            </w:r>
            <w:r>
              <w:t xml:space="preserve">.</w:t>
            </w:r>
            <w:r>
              <w:t xml:space="preserve"> Тимакова</w:t>
            </w:r>
            <w:r/>
          </w:p>
        </w:tc>
      </w:tr>
      <w:tr>
        <w:tblPrEx/>
        <w:trPr>
          <w:trHeight w:val="559"/>
          <w:tblHeader/>
        </w:trPr>
        <w:tc>
          <w:tcPr>
            <w:tcBorders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2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54:35:091040:137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155 368</w:t>
            </w:r>
            <w:r>
              <w:rPr>
                <w:rFonts w:eastAsia="Batang"/>
                <w:sz w:val="24"/>
                <w:szCs w:val="24"/>
              </w:rPr>
            </w:r>
            <w:r>
              <w:rPr>
                <w:rFonts w:eastAsia="Batang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5812" w:type="dxa"/>
            <w:vAlign w:val="center"/>
            <w:textDirection w:val="lrTb"/>
            <w:noWrap w:val="false"/>
          </w:tcPr>
          <w:p>
            <w:r>
              <w:t xml:space="preserve">Российская Федерация, Новосибирская область, городской округ город Новосибирск, город Новосибирск, ул.</w:t>
            </w:r>
            <w:r>
              <w:t xml:space="preserve"> </w:t>
            </w:r>
            <w:r>
              <w:t xml:space="preserve">Тимакова, з/у 9а</w:t>
            </w:r>
            <w:r/>
          </w:p>
        </w:tc>
      </w:tr>
      <w:tr>
        <w:tblPrEx/>
        <w:trPr>
          <w:trHeight w:val="563"/>
          <w:tblHeader/>
        </w:trPr>
        <w:tc>
          <w:tcPr>
            <w:tcBorders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3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54:35:091040:138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31 779 </w:t>
            </w:r>
            <w:r>
              <w:rPr>
                <w:rFonts w:eastAsia="Batang"/>
                <w:sz w:val="24"/>
                <w:szCs w:val="24"/>
              </w:rPr>
            </w:r>
            <w:r>
              <w:rPr>
                <w:rFonts w:eastAsia="Batang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5812" w:type="dxa"/>
            <w:vAlign w:val="center"/>
            <w:textDirection w:val="lrTb"/>
            <w:noWrap w:val="false"/>
          </w:tcPr>
          <w:p>
            <w:r>
              <w:t xml:space="preserve">Российская Федерация, Новосибирская область, городской округ город Новосибирск, город Новосибирск, ул.</w:t>
            </w:r>
            <w:r>
              <w:t xml:space="preserve"> </w:t>
            </w:r>
            <w:r>
              <w:t xml:space="preserve">Тимакова, з/у 9</w:t>
            </w:r>
            <w:r/>
          </w:p>
        </w:tc>
      </w:tr>
      <w:tr>
        <w:tblPrEx/>
        <w:trPr>
          <w:trHeight w:val="557"/>
          <w:tblHeader/>
        </w:trPr>
        <w:tc>
          <w:tcPr>
            <w:tcBorders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4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54:35:091040:139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157 847</w:t>
            </w:r>
            <w:r>
              <w:rPr>
                <w:rFonts w:eastAsia="Batang"/>
                <w:sz w:val="24"/>
                <w:szCs w:val="24"/>
              </w:rPr>
            </w:r>
            <w:r>
              <w:rPr>
                <w:rFonts w:eastAsia="Batang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5812" w:type="dxa"/>
            <w:vAlign w:val="center"/>
            <w:textDirection w:val="lrTb"/>
            <w:noWrap w:val="false"/>
          </w:tcPr>
          <w:p>
            <w:r>
              <w:t xml:space="preserve">Российская Федерация, Новосибирская область, городской округ город Новосибирск, город Новосибирск, ул.</w:t>
            </w:r>
            <w:r>
              <w:t xml:space="preserve"> </w:t>
            </w:r>
            <w:r>
              <w:t xml:space="preserve">Тимакова, з/у 7</w:t>
            </w:r>
            <w:r/>
          </w:p>
        </w:tc>
      </w:tr>
      <w:tr>
        <w:tblPrEx/>
        <w:trPr>
          <w:trHeight w:val="693"/>
          <w:tblHeader/>
        </w:trPr>
        <w:tc>
          <w:tcPr>
            <w:tcBorders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54:35:091040:140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96 925</w:t>
            </w:r>
            <w:r>
              <w:rPr>
                <w:rFonts w:eastAsia="Batang"/>
                <w:sz w:val="24"/>
                <w:szCs w:val="24"/>
              </w:rPr>
            </w:r>
            <w:r>
              <w:rPr>
                <w:rFonts w:eastAsia="Batang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5812" w:type="dxa"/>
            <w:vAlign w:val="center"/>
            <w:textDirection w:val="lrTb"/>
            <w:noWrap w:val="false"/>
          </w:tcPr>
          <w:p>
            <w:r>
              <w:t xml:space="preserve">Российская Федерация, Новосибирская область, городской округ город Новосибирск, город Новосибирск, ул.</w:t>
            </w:r>
            <w:r>
              <w:t xml:space="preserve"> </w:t>
            </w:r>
            <w:r>
              <w:t xml:space="preserve">Тимакова, з/у 13</w:t>
            </w:r>
            <w:r/>
          </w:p>
        </w:tc>
      </w:tr>
      <w:tr>
        <w:tblPrEx/>
        <w:trPr>
          <w:trHeight w:val="561"/>
          <w:tblHeader/>
        </w:trPr>
        <w:tc>
          <w:tcPr>
            <w:tcBorders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6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54:35:091040:141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37 063</w:t>
            </w:r>
            <w:r>
              <w:rPr>
                <w:rFonts w:eastAsia="Batang"/>
                <w:sz w:val="24"/>
                <w:szCs w:val="24"/>
              </w:rPr>
            </w:r>
            <w:r>
              <w:rPr>
                <w:rFonts w:eastAsia="Batang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5812" w:type="dxa"/>
            <w:vAlign w:val="center"/>
            <w:textDirection w:val="lrTb"/>
            <w:noWrap w:val="false"/>
          </w:tcPr>
          <w:p>
            <w:r>
              <w:t xml:space="preserve">Российская Федерация, Новосибирская область, городской округ город Новосибирск, город Новосибирск, ул.</w:t>
            </w:r>
            <w:r>
              <w:t xml:space="preserve"> </w:t>
            </w:r>
            <w:r>
              <w:t xml:space="preserve">Тимакова, з/у 15</w:t>
            </w:r>
            <w:r/>
          </w:p>
        </w:tc>
      </w:tr>
      <w:tr>
        <w:tblPrEx/>
        <w:trPr>
          <w:trHeight w:val="555"/>
          <w:tblHeader/>
        </w:trPr>
        <w:tc>
          <w:tcPr>
            <w:tcBorders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7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54:35:091040:142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20 264</w:t>
            </w:r>
            <w:r>
              <w:rPr>
                <w:rFonts w:eastAsia="Batang"/>
                <w:sz w:val="24"/>
                <w:szCs w:val="24"/>
              </w:rPr>
            </w:r>
            <w:r>
              <w:rPr>
                <w:rFonts w:eastAsia="Batang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5812" w:type="dxa"/>
            <w:vAlign w:val="center"/>
            <w:textDirection w:val="lrTb"/>
            <w:noWrap w:val="false"/>
          </w:tcPr>
          <w:p>
            <w:r>
              <w:t xml:space="preserve">Российская Федерация, Новосибирская область, городской округ город Новосибирск, город Новосибирск, ул.</w:t>
            </w:r>
            <w:r>
              <w:t xml:space="preserve"> </w:t>
            </w:r>
            <w:r>
              <w:t xml:space="preserve">Тимакова, з/у 11</w:t>
            </w:r>
            <w:r/>
          </w:p>
        </w:tc>
      </w:tr>
      <w:tr>
        <w:tblPrEx/>
        <w:trPr>
          <w:trHeight w:val="573"/>
          <w:tblHeader/>
        </w:trPr>
        <w:tc>
          <w:tcPr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8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54:35:091040:143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49 141</w:t>
            </w:r>
            <w:r>
              <w:rPr>
                <w:rFonts w:eastAsia="Batang"/>
                <w:sz w:val="24"/>
                <w:szCs w:val="24"/>
              </w:rPr>
            </w:r>
            <w:r>
              <w:rPr>
                <w:rFonts w:eastAsia="Batang"/>
                <w:sz w:val="24"/>
                <w:szCs w:val="24"/>
              </w:rPr>
            </w:r>
          </w:p>
        </w:tc>
        <w:tc>
          <w:tcPr>
            <w:shd w:val="clear" w:color="auto" w:fill="auto"/>
            <w:tcW w:w="5812" w:type="dxa"/>
            <w:vAlign w:val="center"/>
            <w:textDirection w:val="lrTb"/>
            <w:noWrap w:val="false"/>
          </w:tcPr>
          <w:p>
            <w:r>
              <w:t xml:space="preserve">Российская Федерация, Новосибирская область, городской округ город Новосибирск, город Новосибирск, ул.</w:t>
            </w:r>
            <w:r>
              <w:t xml:space="preserve"> </w:t>
            </w:r>
            <w:r>
              <w:t xml:space="preserve">Тимакова, з/у 17</w:t>
            </w:r>
            <w:r/>
          </w:p>
        </w:tc>
      </w:tr>
      <w:tr>
        <w:tblPrEx/>
        <w:trPr>
          <w:trHeight w:val="571"/>
          <w:tblHeader/>
        </w:trPr>
        <w:tc>
          <w:tcPr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9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54:35:091040:144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207 530</w:t>
            </w:r>
            <w:r>
              <w:rPr>
                <w:rFonts w:eastAsia="Batang"/>
                <w:sz w:val="24"/>
                <w:szCs w:val="24"/>
              </w:rPr>
            </w:r>
            <w:r>
              <w:rPr>
                <w:rFonts w:eastAsia="Batang"/>
                <w:sz w:val="24"/>
                <w:szCs w:val="24"/>
              </w:rPr>
            </w:r>
          </w:p>
        </w:tc>
        <w:tc>
          <w:tcPr>
            <w:shd w:val="clear" w:color="auto" w:fill="auto"/>
            <w:tcW w:w="5812" w:type="dxa"/>
            <w:vAlign w:val="center"/>
            <w:textDirection w:val="lrTb"/>
            <w:noWrap w:val="false"/>
          </w:tcPr>
          <w:p>
            <w:r>
              <w:t xml:space="preserve">Российская Федерация, Новосибирская область, городской округ город Новосибирск, город Новосибирск, ул.</w:t>
            </w:r>
            <w:r>
              <w:t xml:space="preserve"> </w:t>
            </w:r>
            <w:r>
              <w:t xml:space="preserve">Тимакова, з/у 19</w:t>
            </w:r>
            <w:r/>
          </w:p>
        </w:tc>
      </w:tr>
      <w:tr>
        <w:tblPrEx/>
        <w:trPr>
          <w:trHeight w:val="551"/>
          <w:tblHeader/>
        </w:trPr>
        <w:tc>
          <w:tcPr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10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54:35:091040:25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30 009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shd w:val="clear" w:color="auto" w:fill="auto"/>
            <w:tcW w:w="5812" w:type="dxa"/>
            <w:vAlign w:val="center"/>
            <w:textDirection w:val="lrTb"/>
            <w:noWrap w:val="false"/>
          </w:tcPr>
          <w:p>
            <w:r>
              <w:t xml:space="preserve">Российская Федерация, Новосибирская область, город Новосибирск, ул.</w:t>
            </w:r>
            <w:r>
              <w:t xml:space="preserve"> </w:t>
            </w:r>
            <w:r>
              <w:t xml:space="preserve">Тимакова, 5</w:t>
            </w:r>
            <w:r/>
          </w:p>
        </w:tc>
      </w:tr>
      <w:tr>
        <w:tblPrEx/>
        <w:trPr>
          <w:trHeight w:val="559"/>
          <w:tblHeader/>
        </w:trPr>
        <w:tc>
          <w:tcPr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11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54:35:091040:145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 xml:space="preserve">49 075</w:t>
            </w:r>
            <w:r>
              <w:rPr>
                <w:rFonts w:eastAsia="Batang"/>
                <w:sz w:val="24"/>
                <w:szCs w:val="24"/>
              </w:rPr>
            </w:r>
            <w:r>
              <w:rPr>
                <w:rFonts w:eastAsia="Batang"/>
                <w:sz w:val="24"/>
                <w:szCs w:val="24"/>
              </w:rPr>
            </w:r>
          </w:p>
        </w:tc>
        <w:tc>
          <w:tcPr>
            <w:shd w:val="clear" w:color="auto" w:fill="auto"/>
            <w:tcW w:w="5812" w:type="dxa"/>
            <w:vAlign w:val="center"/>
            <w:textDirection w:val="lrTb"/>
            <w:noWrap w:val="false"/>
          </w:tcPr>
          <w:p>
            <w:r>
              <w:t xml:space="preserve">Российская Федерация, Новосибирская область, городской округ город Новосибирск, город Новосибирск, ул.</w:t>
            </w:r>
            <w:r>
              <w:t xml:space="preserve"> </w:t>
            </w:r>
            <w:r>
              <w:t xml:space="preserve">Тимакова, з/у 21</w:t>
            </w:r>
            <w:r/>
          </w:p>
        </w:tc>
      </w:tr>
      <w:tr>
        <w:tblPrEx/>
        <w:trPr>
          <w:trHeight w:val="553"/>
          <w:tblHeader/>
        </w:trPr>
        <w:tc>
          <w:tcPr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12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</w:r>
          </w:p>
        </w:tc>
        <w:tc>
          <w:tcPr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54:35:091040:146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 xml:space="preserve">23 347</w:t>
            </w:r>
            <w:r>
              <w:rPr>
                <w:rFonts w:eastAsia="Batang"/>
                <w:sz w:val="24"/>
                <w:szCs w:val="24"/>
              </w:rPr>
            </w:r>
            <w:r>
              <w:rPr>
                <w:rFonts w:eastAsia="Batang"/>
                <w:sz w:val="24"/>
                <w:szCs w:val="24"/>
              </w:rPr>
            </w:r>
          </w:p>
        </w:tc>
        <w:tc>
          <w:tcPr>
            <w:shd w:val="clear" w:color="auto" w:fill="auto"/>
            <w:tcW w:w="5812" w:type="dxa"/>
            <w:vAlign w:val="center"/>
            <w:textDirection w:val="lrTb"/>
            <w:noWrap w:val="false"/>
          </w:tcPr>
          <w:p>
            <w:r>
              <w:t xml:space="preserve">Российская Федерация, Новосибирская область, городской округ город Новосибирск, город Новосибирск, ул. Тимакова, з/у 21</w:t>
            </w:r>
            <w:r/>
          </w:p>
        </w:tc>
      </w:tr>
      <w:tr>
        <w:tblPrEx/>
        <w:trPr>
          <w:trHeight w:val="1000"/>
          <w:tblHeader/>
        </w:trPr>
        <w:tc>
          <w:tcPr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  <w:lang w:val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13</w:t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</w:r>
            <w:r>
              <w:rPr>
                <w:rFonts w:eastAsia="Calibri"/>
                <w:color w:val="000000"/>
                <w:sz w:val="24"/>
                <w:szCs w:val="24"/>
                <w:lang w:val="en-US"/>
              </w:rPr>
            </w:r>
          </w:p>
        </w:tc>
        <w:tc>
          <w:tcPr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54:35:091040:2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в составе ЕЗП 54:35:000000:115)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 xml:space="preserve">2</w:t>
            </w:r>
            <w:r>
              <w:rPr>
                <w:rFonts w:eastAsia="Batang"/>
                <w:sz w:val="24"/>
                <w:szCs w:val="24"/>
              </w:rPr>
              <w:t xml:space="preserve">51</w:t>
            </w:r>
            <w:r>
              <w:rPr>
                <w:rFonts w:eastAsia="Batang"/>
                <w:sz w:val="24"/>
                <w:szCs w:val="24"/>
              </w:rPr>
              <w:t xml:space="preserve"> </w:t>
            </w:r>
            <w:r>
              <w:rPr>
                <w:rFonts w:eastAsia="Batang"/>
                <w:sz w:val="24"/>
                <w:szCs w:val="24"/>
              </w:rPr>
              <w:t xml:space="preserve">709</w:t>
            </w:r>
            <w:r>
              <w:rPr>
                <w:rFonts w:eastAsia="Batang"/>
                <w:sz w:val="24"/>
                <w:szCs w:val="24"/>
              </w:rPr>
            </w:r>
            <w:r>
              <w:rPr>
                <w:rFonts w:eastAsia="Batang"/>
                <w:sz w:val="24"/>
                <w:szCs w:val="24"/>
              </w:rPr>
            </w:r>
          </w:p>
        </w:tc>
        <w:tc>
          <w:tcPr>
            <w:shd w:val="clear" w:color="auto" w:fill="auto"/>
            <w:tcW w:w="5812" w:type="dxa"/>
            <w:vAlign w:val="center"/>
            <w:textDirection w:val="lrTb"/>
            <w:noWrap w:val="false"/>
          </w:tcPr>
          <w:p>
            <w:r>
              <w:t xml:space="preserve">Местоположение установлено относительно ориентира, расположенного в границах участка.Ориентир строительная площадка. Почтовый адрес ориентира: обл.</w:t>
            </w:r>
            <w:r>
              <w:t xml:space="preserve"> </w:t>
            </w:r>
            <w:r>
              <w:t xml:space="preserve">Новосибирская, г.</w:t>
            </w:r>
            <w:r>
              <w:t xml:space="preserve"> </w:t>
            </w:r>
            <w:r>
              <w:t xml:space="preserve">Новосибирск, Советский район</w:t>
            </w:r>
            <w:r/>
          </w:p>
        </w:tc>
      </w:tr>
      <w:tr>
        <w:tblPrEx/>
        <w:trPr>
          <w:trHeight w:val="972"/>
          <w:tblHeader/>
        </w:trPr>
        <w:tc>
          <w:tcPr>
            <w:tcBorders>
              <w:bottom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14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54:35:091002:34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в составе ЕЗП 54:35:000000:115)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 xml:space="preserve">112 447</w:t>
            </w:r>
            <w:r>
              <w:rPr>
                <w:rFonts w:eastAsia="Batang"/>
                <w:sz w:val="24"/>
                <w:szCs w:val="24"/>
              </w:rPr>
            </w:r>
            <w:r>
              <w:rPr>
                <w:rFonts w:eastAsia="Batang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5812" w:type="dxa"/>
            <w:vAlign w:val="center"/>
            <w:textDirection w:val="lrTb"/>
            <w:noWrap w:val="false"/>
          </w:tcPr>
          <w:p>
            <w:r>
              <w:t xml:space="preserve">Местоположение установлено относительно ориентира, расположенного в границах участка.Ориентир строительная площадка. Почтовый адрес ориентира: обл.</w:t>
            </w:r>
            <w:r>
              <w:t xml:space="preserve"> </w:t>
            </w:r>
            <w:r>
              <w:t xml:space="preserve">Новосибирская, г.</w:t>
            </w:r>
            <w:r>
              <w:t xml:space="preserve"> </w:t>
            </w:r>
            <w:r>
              <w:t xml:space="preserve">Новосибирск, Советский район</w:t>
            </w:r>
            <w:bookmarkStart w:id="0" w:name="_GoBack"/>
            <w:r/>
            <w:bookmarkEnd w:id="0"/>
            <w:r/>
            <w:r/>
          </w:p>
        </w:tc>
      </w:tr>
    </w:tbl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jc w:val="center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</w:rPr>
        <w:t xml:space="preserve">Раздел 3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  <w:highlight w:val="none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координат характерных точек границ территории в системе координат</w:t>
      </w: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Площадь: </w:t>
      </w:r>
      <w:r>
        <w:rPr>
          <w:sz w:val="28"/>
          <w:szCs w:val="28"/>
        </w:rPr>
        <w:t xml:space="preserve">1 799 325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. м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4"/>
          <w:szCs w:val="24"/>
        </w:rPr>
      </w:pPr>
      <w:r>
        <w:rPr>
          <w:sz w:val="28"/>
          <w:szCs w:val="28"/>
        </w:rPr>
        <w:t xml:space="preserve">Описание границ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: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W w:w="9923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9"/>
        <w:gridCol w:w="3304"/>
        <w:gridCol w:w="3500"/>
      </w:tblGrid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tcW w:w="3119" w:type="dxa"/>
            <w:vMerge w:val="restart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Обозначение характерных точек границ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804" w:type="dxa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Координаты</w:t>
            </w:r>
            <w:r>
              <w:rPr>
                <w:sz w:val="24"/>
                <w:szCs w:val="24"/>
                <w:lang w:val="en-US"/>
              </w:rPr>
              <w:t xml:space="preserve">, </w:t>
            </w:r>
            <w:r>
              <w:rPr>
                <w:sz w:val="24"/>
                <w:szCs w:val="24"/>
              </w:rPr>
              <w:t xml:space="preserve">м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vMerge w:val="continue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X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Y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473648,49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4211433,72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473639,22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4211445,21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473630,68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4211455,79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473624,99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4211462,83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473617,79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4211472,89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473616,7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4211471,88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473597,21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4211453,9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473592,51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4211459,11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473586,05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4211453,49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473582,08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4211454,8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473586,86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4211466,86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473570,42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4211488,11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473583,17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4211497,09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473572,22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4211511,62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473564,69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4211506,61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473555,25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4211519,97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473545,92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4211532,54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473557,8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4211540,78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473548,83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4211552,35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473539,77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4211563,86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473531,21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4211576,58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473521,8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4211589,34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473520,04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4211591,86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472615,58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4211780,53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472405,47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4211824,36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471826,44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4211945,09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471636,5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4211629,98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471507,27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4211415,67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471529,59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4211394,56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471784,88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4211153,81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471814,39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4211126,74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471826,89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4211115,28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471830,23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4211115,4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472409,72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4211123,39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472409,72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4211123,36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472410,86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4210921,5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472410,9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4210913,86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472402,59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4210913,82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472400,87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4210912,11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472253,29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4210774,51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472215,6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4210738,96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472509,95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4210453,99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472536,26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4210442,69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472722,24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4210362,8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472780,37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4210356,32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472989,44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4210566,22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472975,92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4210669,06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473068,97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4210755,25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473666,9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4211309,23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473664,64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4211389,58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473663,62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4211425,68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473663,35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4211435,54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473653,67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4211427,3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11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473648,49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4211433,72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</w:tbl>
    <w:p>
      <w:pPr>
        <w:spacing w:after="160"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Система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координат</w:t>
      </w:r>
      <w:r>
        <w:rPr>
          <w:sz w:val="28"/>
          <w:szCs w:val="28"/>
        </w:rPr>
        <w:t xml:space="preserve"> </w:t>
      </w:r>
      <w:r/>
      <w:r>
        <w:rPr>
          <w:rFonts w:hint="default" w:ascii="Andale Mono" w:hAnsi="Andale Mono" w:eastAsia="Andale Mono" w:cs="Andale Mono"/>
          <w:sz w:val="28"/>
          <w:szCs w:val="28"/>
        </w:rPr>
        <w:t xml:space="preserve">–</w:t>
      </w:r>
      <w:r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СК НСО</w:t>
      </w:r>
      <w:r>
        <w:rPr>
          <w:sz w:val="28"/>
          <w:szCs w:val="28"/>
        </w:rPr>
        <w:t xml:space="preserve">.»</w:t>
      </w:r>
      <w:r>
        <w:rPr>
          <w:sz w:val="28"/>
          <w:szCs w:val="28"/>
        </w:rPr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  <w:highlight w:val="none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  <w:highlight w:val="none"/>
        </w:rPr>
        <w:t xml:space="preserve">_________</w:t>
      </w:r>
      <w:r>
        <w:rPr>
          <w:sz w:val="28"/>
          <w:szCs w:val="28"/>
          <w:highlight w:val="none"/>
        </w:rPr>
      </w:r>
    </w:p>
    <w:sectPr>
      <w:footnotePr/>
      <w:endnotePr/>
      <w:type w:val="continuous"/>
      <w:pgSz w:w="11906" w:h="16838" w:orient="portrait"/>
      <w:pgMar w:top="1134" w:right="567" w:bottom="397" w:left="1418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tang">
    <w:panose1 w:val="02000506000000020000"/>
  </w:font>
  <w:font w:name="Calibri">
    <w:panose1 w:val="020F0502020204030204"/>
  </w:font>
  <w:font w:name="Tahoma">
    <w:panose1 w:val="020B0604030504040204"/>
  </w:font>
  <w:font w:name="Andale Mono">
    <w:panose1 w:val="020B05090000000000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3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1"/>
      <w:jc w:val="center"/>
    </w:pPr>
    <w:fldSimple w:instr="PAGE \* MERGEFORMAT">
      <w:r>
        <w:t xml:space="preserve">1</w:t>
      </w:r>
    </w:fldSimple>
    <w:r/>
    <w:r/>
  </w:p>
  <w:p>
    <w:pPr>
      <w:pStyle w:val="681"/>
    </w:pP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1"/>
      <w:jc w:val="center"/>
    </w:pPr>
    <w:r/>
    <w:r/>
  </w:p>
  <w:p>
    <w:pPr>
      <w:pStyle w:val="681"/>
    </w:pPr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1"/>
    <w:next w:val="831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3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1"/>
    <w:next w:val="831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3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1"/>
    <w:next w:val="831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3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1"/>
    <w:next w:val="831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3"/>
    <w:link w:val="660"/>
    <w:uiPriority w:val="9"/>
    <w:rPr>
      <w:rFonts w:ascii="Arial" w:hAnsi="Arial" w:eastAsia="Arial" w:cs="Arial"/>
      <w:b/>
      <w:bCs/>
      <w:sz w:val="26"/>
      <w:szCs w:val="26"/>
    </w:rPr>
  </w:style>
  <w:style w:type="character" w:styleId="662">
    <w:name w:val="Heading 5 Char"/>
    <w:basedOn w:val="833"/>
    <w:link w:val="832"/>
    <w:uiPriority w:val="9"/>
    <w:rPr>
      <w:rFonts w:ascii="Arial" w:hAnsi="Arial" w:eastAsia="Arial" w:cs="Arial"/>
      <w:b/>
      <w:bCs/>
      <w:sz w:val="24"/>
      <w:szCs w:val="24"/>
    </w:rPr>
  </w:style>
  <w:style w:type="paragraph" w:styleId="663">
    <w:name w:val="Heading 6"/>
    <w:basedOn w:val="831"/>
    <w:next w:val="831"/>
    <w:link w:val="66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4">
    <w:name w:val="Heading 6 Char"/>
    <w:basedOn w:val="833"/>
    <w:link w:val="663"/>
    <w:uiPriority w:val="9"/>
    <w:rPr>
      <w:rFonts w:ascii="Arial" w:hAnsi="Arial" w:eastAsia="Arial" w:cs="Arial"/>
      <w:b/>
      <w:bCs/>
      <w:sz w:val="22"/>
      <w:szCs w:val="22"/>
    </w:rPr>
  </w:style>
  <w:style w:type="paragraph" w:styleId="665">
    <w:name w:val="Heading 7"/>
    <w:basedOn w:val="831"/>
    <w:next w:val="831"/>
    <w:link w:val="66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6">
    <w:name w:val="Heading 7 Char"/>
    <w:basedOn w:val="833"/>
    <w:link w:val="66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7">
    <w:name w:val="Heading 8"/>
    <w:basedOn w:val="831"/>
    <w:next w:val="831"/>
    <w:link w:val="66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8">
    <w:name w:val="Heading 8 Char"/>
    <w:basedOn w:val="833"/>
    <w:link w:val="667"/>
    <w:uiPriority w:val="9"/>
    <w:rPr>
      <w:rFonts w:ascii="Arial" w:hAnsi="Arial" w:eastAsia="Arial" w:cs="Arial"/>
      <w:i/>
      <w:iCs/>
      <w:sz w:val="22"/>
      <w:szCs w:val="22"/>
    </w:rPr>
  </w:style>
  <w:style w:type="paragraph" w:styleId="669">
    <w:name w:val="Heading 9"/>
    <w:basedOn w:val="831"/>
    <w:next w:val="831"/>
    <w:link w:val="67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0">
    <w:name w:val="Heading 9 Char"/>
    <w:basedOn w:val="833"/>
    <w:link w:val="669"/>
    <w:uiPriority w:val="9"/>
    <w:rPr>
      <w:rFonts w:ascii="Arial" w:hAnsi="Arial" w:eastAsia="Arial" w:cs="Arial"/>
      <w:i/>
      <w:iCs/>
      <w:sz w:val="21"/>
      <w:szCs w:val="21"/>
    </w:rPr>
  </w:style>
  <w:style w:type="paragraph" w:styleId="671">
    <w:name w:val="List Paragraph"/>
    <w:basedOn w:val="831"/>
    <w:uiPriority w:val="34"/>
    <w:qFormat/>
    <w:pPr>
      <w:contextualSpacing/>
      <w:ind w:left="720"/>
    </w:pPr>
  </w:style>
  <w:style w:type="paragraph" w:styleId="672">
    <w:name w:val="No Spacing"/>
    <w:uiPriority w:val="1"/>
    <w:qFormat/>
    <w:pPr>
      <w:spacing w:before="0" w:after="0" w:line="240" w:lineRule="auto"/>
    </w:pPr>
  </w:style>
  <w:style w:type="paragraph" w:styleId="673">
    <w:name w:val="Title"/>
    <w:basedOn w:val="831"/>
    <w:next w:val="831"/>
    <w:link w:val="67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4">
    <w:name w:val="Title Char"/>
    <w:basedOn w:val="833"/>
    <w:link w:val="673"/>
    <w:uiPriority w:val="10"/>
    <w:rPr>
      <w:sz w:val="48"/>
      <w:szCs w:val="48"/>
    </w:rPr>
  </w:style>
  <w:style w:type="paragraph" w:styleId="675">
    <w:name w:val="Subtitle"/>
    <w:basedOn w:val="831"/>
    <w:next w:val="831"/>
    <w:link w:val="676"/>
    <w:uiPriority w:val="11"/>
    <w:qFormat/>
    <w:pPr>
      <w:spacing w:before="200" w:after="200"/>
    </w:pPr>
    <w:rPr>
      <w:sz w:val="24"/>
      <w:szCs w:val="24"/>
    </w:rPr>
  </w:style>
  <w:style w:type="character" w:styleId="676">
    <w:name w:val="Subtitle Char"/>
    <w:basedOn w:val="833"/>
    <w:link w:val="675"/>
    <w:uiPriority w:val="11"/>
    <w:rPr>
      <w:sz w:val="24"/>
      <w:szCs w:val="24"/>
    </w:rPr>
  </w:style>
  <w:style w:type="paragraph" w:styleId="677">
    <w:name w:val="Quote"/>
    <w:basedOn w:val="831"/>
    <w:next w:val="831"/>
    <w:link w:val="678"/>
    <w:uiPriority w:val="29"/>
    <w:qFormat/>
    <w:pPr>
      <w:ind w:left="720" w:right="720"/>
    </w:pPr>
    <w:rPr>
      <w:i/>
    </w:rPr>
  </w:style>
  <w:style w:type="character" w:styleId="678">
    <w:name w:val="Quote Char"/>
    <w:link w:val="677"/>
    <w:uiPriority w:val="29"/>
    <w:rPr>
      <w:i/>
    </w:rPr>
  </w:style>
  <w:style w:type="paragraph" w:styleId="679">
    <w:name w:val="Intense Quote"/>
    <w:basedOn w:val="831"/>
    <w:next w:val="831"/>
    <w:link w:val="68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0">
    <w:name w:val="Intense Quote Char"/>
    <w:link w:val="679"/>
    <w:uiPriority w:val="30"/>
    <w:rPr>
      <w:i/>
    </w:rPr>
  </w:style>
  <w:style w:type="paragraph" w:styleId="681">
    <w:name w:val="Header"/>
    <w:basedOn w:val="831"/>
    <w:link w:val="68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2">
    <w:name w:val="Header Char"/>
    <w:basedOn w:val="833"/>
    <w:link w:val="681"/>
    <w:uiPriority w:val="99"/>
  </w:style>
  <w:style w:type="paragraph" w:styleId="683">
    <w:name w:val="Footer"/>
    <w:basedOn w:val="831"/>
    <w:link w:val="68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4">
    <w:name w:val="Footer Char"/>
    <w:basedOn w:val="833"/>
    <w:link w:val="683"/>
    <w:uiPriority w:val="99"/>
  </w:style>
  <w:style w:type="paragraph" w:styleId="685">
    <w:name w:val="Caption"/>
    <w:basedOn w:val="831"/>
    <w:next w:val="83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6">
    <w:name w:val="Caption Char"/>
    <w:basedOn w:val="685"/>
    <w:link w:val="683"/>
    <w:uiPriority w:val="99"/>
  </w:style>
  <w:style w:type="table" w:styleId="687">
    <w:name w:val="Table Grid"/>
    <w:basedOn w:val="83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Table Grid Light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Plain Table 1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2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2">
    <w:name w:val="Plain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3">
    <w:name w:val="Plain Table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4">
    <w:name w:val="Grid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6">
    <w:name w:val="Grid Table 4 - Accent 1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7">
    <w:name w:val="Grid Table 4 - Accent 2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8">
    <w:name w:val="Grid Table 4 - Accent 3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9">
    <w:name w:val="Grid Table 4 - Accent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0">
    <w:name w:val="Grid Table 4 - Accent 5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1">
    <w:name w:val="Grid Table 4 - Accent 6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2">
    <w:name w:val="Grid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3">
    <w:name w:val="Grid Table 5 Dark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6">
    <w:name w:val="Grid Table 5 Dark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29">
    <w:name w:val="Grid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0">
    <w:name w:val="Grid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1">
    <w:name w:val="Grid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2">
    <w:name w:val="Grid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3">
    <w:name w:val="Grid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4">
    <w:name w:val="Grid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1">
    <w:name w:val="List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2">
    <w:name w:val="List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3">
    <w:name w:val="List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4">
    <w:name w:val="List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5">
    <w:name w:val="List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6">
    <w:name w:val="List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7">
    <w:name w:val="List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9">
    <w:name w:val="List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0">
    <w:name w:val="List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1">
    <w:name w:val="List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2">
    <w:name w:val="List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3">
    <w:name w:val="List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4">
    <w:name w:val="List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5">
    <w:name w:val="List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6">
    <w:name w:val="List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7">
    <w:name w:val="List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8">
    <w:name w:val="List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89">
    <w:name w:val="List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0">
    <w:name w:val="List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1">
    <w:name w:val="List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2">
    <w:name w:val="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3">
    <w:name w:val="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4">
    <w:name w:val="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5">
    <w:name w:val="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6">
    <w:name w:val="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7">
    <w:name w:val="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8">
    <w:name w:val="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99">
    <w:name w:val="Bordered &amp; 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0">
    <w:name w:val="Bordered &amp; 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1">
    <w:name w:val="Bordered &amp; 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2">
    <w:name w:val="Bordered &amp; 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3">
    <w:name w:val="Bordered &amp; 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4">
    <w:name w:val="Bordered &amp; 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5">
    <w:name w:val="Bordered &amp; 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6">
    <w:name w:val="Bordered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7">
    <w:name w:val="Bordered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8">
    <w:name w:val="Bordered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9">
    <w:name w:val="Bordered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0">
    <w:name w:val="Bordered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1">
    <w:name w:val="Bordered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2">
    <w:name w:val="Bordered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3">
    <w:name w:val="Hyperlink"/>
    <w:uiPriority w:val="99"/>
    <w:unhideWhenUsed/>
    <w:rPr>
      <w:color w:val="0000ff" w:themeColor="hyperlink"/>
      <w:u w:val="single"/>
    </w:rPr>
  </w:style>
  <w:style w:type="paragraph" w:styleId="814">
    <w:name w:val="footnote text"/>
    <w:basedOn w:val="831"/>
    <w:link w:val="815"/>
    <w:uiPriority w:val="99"/>
    <w:semiHidden/>
    <w:unhideWhenUsed/>
    <w:pPr>
      <w:spacing w:after="40" w:line="240" w:lineRule="auto"/>
    </w:pPr>
    <w:rPr>
      <w:sz w:val="18"/>
    </w:rPr>
  </w:style>
  <w:style w:type="character" w:styleId="815">
    <w:name w:val="Footnote Text Char"/>
    <w:link w:val="814"/>
    <w:uiPriority w:val="99"/>
    <w:rPr>
      <w:sz w:val="18"/>
    </w:rPr>
  </w:style>
  <w:style w:type="character" w:styleId="816">
    <w:name w:val="footnote reference"/>
    <w:basedOn w:val="833"/>
    <w:uiPriority w:val="99"/>
    <w:unhideWhenUsed/>
    <w:rPr>
      <w:vertAlign w:val="superscript"/>
    </w:rPr>
  </w:style>
  <w:style w:type="paragraph" w:styleId="817">
    <w:name w:val="endnote text"/>
    <w:basedOn w:val="831"/>
    <w:link w:val="818"/>
    <w:uiPriority w:val="99"/>
    <w:semiHidden/>
    <w:unhideWhenUsed/>
    <w:pPr>
      <w:spacing w:after="0" w:line="240" w:lineRule="auto"/>
    </w:pPr>
    <w:rPr>
      <w:sz w:val="20"/>
    </w:rPr>
  </w:style>
  <w:style w:type="character" w:styleId="818">
    <w:name w:val="Endnote Text Char"/>
    <w:link w:val="817"/>
    <w:uiPriority w:val="99"/>
    <w:rPr>
      <w:sz w:val="20"/>
    </w:rPr>
  </w:style>
  <w:style w:type="character" w:styleId="819">
    <w:name w:val="endnote reference"/>
    <w:basedOn w:val="833"/>
    <w:uiPriority w:val="99"/>
    <w:semiHidden/>
    <w:unhideWhenUsed/>
    <w:rPr>
      <w:vertAlign w:val="superscript"/>
    </w:rPr>
  </w:style>
  <w:style w:type="paragraph" w:styleId="820">
    <w:name w:val="toc 1"/>
    <w:basedOn w:val="831"/>
    <w:next w:val="831"/>
    <w:uiPriority w:val="39"/>
    <w:unhideWhenUsed/>
    <w:pPr>
      <w:ind w:left="0" w:right="0" w:firstLine="0"/>
      <w:spacing w:after="57"/>
    </w:pPr>
  </w:style>
  <w:style w:type="paragraph" w:styleId="821">
    <w:name w:val="toc 2"/>
    <w:basedOn w:val="831"/>
    <w:next w:val="831"/>
    <w:uiPriority w:val="39"/>
    <w:unhideWhenUsed/>
    <w:pPr>
      <w:ind w:left="283" w:right="0" w:firstLine="0"/>
      <w:spacing w:after="57"/>
    </w:pPr>
  </w:style>
  <w:style w:type="paragraph" w:styleId="822">
    <w:name w:val="toc 3"/>
    <w:basedOn w:val="831"/>
    <w:next w:val="831"/>
    <w:uiPriority w:val="39"/>
    <w:unhideWhenUsed/>
    <w:pPr>
      <w:ind w:left="567" w:right="0" w:firstLine="0"/>
      <w:spacing w:after="57"/>
    </w:pPr>
  </w:style>
  <w:style w:type="paragraph" w:styleId="823">
    <w:name w:val="toc 4"/>
    <w:basedOn w:val="831"/>
    <w:next w:val="831"/>
    <w:uiPriority w:val="39"/>
    <w:unhideWhenUsed/>
    <w:pPr>
      <w:ind w:left="850" w:right="0" w:firstLine="0"/>
      <w:spacing w:after="57"/>
    </w:pPr>
  </w:style>
  <w:style w:type="paragraph" w:styleId="824">
    <w:name w:val="toc 5"/>
    <w:basedOn w:val="831"/>
    <w:next w:val="831"/>
    <w:uiPriority w:val="39"/>
    <w:unhideWhenUsed/>
    <w:pPr>
      <w:ind w:left="1134" w:right="0" w:firstLine="0"/>
      <w:spacing w:after="57"/>
    </w:pPr>
  </w:style>
  <w:style w:type="paragraph" w:styleId="825">
    <w:name w:val="toc 6"/>
    <w:basedOn w:val="831"/>
    <w:next w:val="831"/>
    <w:uiPriority w:val="39"/>
    <w:unhideWhenUsed/>
    <w:pPr>
      <w:ind w:left="1417" w:right="0" w:firstLine="0"/>
      <w:spacing w:after="57"/>
    </w:pPr>
  </w:style>
  <w:style w:type="paragraph" w:styleId="826">
    <w:name w:val="toc 7"/>
    <w:basedOn w:val="831"/>
    <w:next w:val="831"/>
    <w:uiPriority w:val="39"/>
    <w:unhideWhenUsed/>
    <w:pPr>
      <w:ind w:left="1701" w:right="0" w:firstLine="0"/>
      <w:spacing w:after="57"/>
    </w:pPr>
  </w:style>
  <w:style w:type="paragraph" w:styleId="827">
    <w:name w:val="toc 8"/>
    <w:basedOn w:val="831"/>
    <w:next w:val="831"/>
    <w:uiPriority w:val="39"/>
    <w:unhideWhenUsed/>
    <w:pPr>
      <w:ind w:left="1984" w:right="0" w:firstLine="0"/>
      <w:spacing w:after="57"/>
    </w:pPr>
  </w:style>
  <w:style w:type="paragraph" w:styleId="828">
    <w:name w:val="toc 9"/>
    <w:basedOn w:val="831"/>
    <w:next w:val="831"/>
    <w:uiPriority w:val="39"/>
    <w:unhideWhenUsed/>
    <w:pPr>
      <w:ind w:left="2268" w:right="0" w:firstLine="0"/>
      <w:spacing w:after="57"/>
    </w:pPr>
  </w:style>
  <w:style w:type="paragraph" w:styleId="829">
    <w:name w:val="TOC Heading"/>
    <w:uiPriority w:val="39"/>
    <w:unhideWhenUsed/>
  </w:style>
  <w:style w:type="paragraph" w:styleId="830">
    <w:name w:val="table of figures"/>
    <w:basedOn w:val="831"/>
    <w:next w:val="831"/>
    <w:uiPriority w:val="99"/>
    <w:unhideWhenUsed/>
    <w:pPr>
      <w:spacing w:after="0" w:afterAutospacing="0"/>
    </w:pPr>
  </w:style>
  <w:style w:type="paragraph" w:styleId="831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32">
    <w:name w:val="Heading 5"/>
    <w:basedOn w:val="831"/>
    <w:next w:val="831"/>
    <w:link w:val="836"/>
    <w:uiPriority w:val="99"/>
    <w:qFormat/>
    <w:pPr>
      <w:jc w:val="both"/>
      <w:keepNext/>
      <w:outlineLvl w:val="4"/>
    </w:pPr>
    <w:rPr>
      <w:color w:val="000000"/>
      <w:sz w:val="28"/>
      <w:szCs w:val="28"/>
    </w:rPr>
  </w:style>
  <w:style w:type="character" w:styleId="833" w:default="1">
    <w:name w:val="Default Paragraph Font"/>
    <w:uiPriority w:val="1"/>
    <w:semiHidden/>
    <w:unhideWhenUsed/>
  </w:style>
  <w:style w:type="table" w:styleId="8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5" w:default="1">
    <w:name w:val="No List"/>
    <w:uiPriority w:val="99"/>
    <w:semiHidden/>
    <w:unhideWhenUsed/>
  </w:style>
  <w:style w:type="character" w:styleId="836" w:customStyle="1">
    <w:name w:val="Заголовок 5 Знак"/>
    <w:basedOn w:val="833"/>
    <w:link w:val="832"/>
    <w:uiPriority w:val="99"/>
    <w:rPr>
      <w:rFonts w:ascii="Times New Roman" w:hAnsi="Times New Roman" w:eastAsia="Times New Roman" w:cs="Times New Roman"/>
      <w:color w:val="000000"/>
      <w:sz w:val="28"/>
      <w:szCs w:val="28"/>
      <w:lang w:eastAsia="ru-RU"/>
    </w:rPr>
  </w:style>
  <w:style w:type="character" w:styleId="837" w:customStyle="1">
    <w:name w:val="Подпись к картинке + 9;5 pt;Не полужирный Exact"/>
    <w:basedOn w:val="833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19"/>
      <w:szCs w:val="19"/>
      <w:u w:val="none"/>
      <w:lang w:val="ru-RU" w:eastAsia="ru-RU" w:bidi="ru-RU"/>
    </w:rPr>
  </w:style>
  <w:style w:type="paragraph" w:styleId="838">
    <w:name w:val="Balloon Text"/>
    <w:basedOn w:val="831"/>
    <w:link w:val="839"/>
    <w:uiPriority w:val="99"/>
    <w:semiHidden/>
    <w:unhideWhenUsed/>
    <w:rPr>
      <w:rFonts w:ascii="Tahoma" w:hAnsi="Tahoma" w:cs="Tahoma"/>
      <w:sz w:val="16"/>
      <w:szCs w:val="16"/>
    </w:rPr>
  </w:style>
  <w:style w:type="character" w:styleId="839" w:customStyle="1">
    <w:name w:val="Текст выноски Знак"/>
    <w:basedOn w:val="833"/>
    <w:link w:val="838"/>
    <w:uiPriority w:val="99"/>
    <w:semiHidden/>
    <w:rPr>
      <w:rFonts w:ascii="Tahoma" w:hAnsi="Tahoma" w:eastAsia="Times New Roman" w:cs="Tahoma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B4B01-9B4C-4209-835E-F5A064B41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Р7-Офис/2024.1.1.373</Application>
  <Company>Minstroy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revision>125</cp:revision>
  <dcterms:created xsi:type="dcterms:W3CDTF">2024-05-23T08:35:00Z</dcterms:created>
  <dcterms:modified xsi:type="dcterms:W3CDTF">2024-06-05T07:59:17Z</dcterms:modified>
</cp:coreProperties>
</file>