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 w:right="0" w:firstLine="0"/>
        <w:jc w:val="center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pStyle w:val="891"/>
        <w:ind w:left="5102" w:right="0" w:firstLine="1"/>
        <w:jc w:val="center"/>
        <w:spacing w:after="0" w:afterAutospacing="0"/>
        <w:rPr>
          <w:rFonts w:ascii="Times New Roman" w:hAnsi="Times New Roman" w:cs="Times New Roman"/>
          <w:highlight w:val="white"/>
        </w:rPr>
      </w:pPr>
      <w:r>
        <w:rPr>
          <w:rStyle w:val="1_27047"/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Проект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pStyle w:val="891"/>
        <w:ind w:left="5102" w:right="0" w:firstLine="1"/>
        <w:jc w:val="center"/>
        <w:spacing w:after="0" w:afterAutospacing="0"/>
        <w:rPr>
          <w:rFonts w:ascii="Times New Roman" w:hAnsi="Times New Roman" w:cs="Times New Roman"/>
          <w:highlight w:val="white"/>
        </w:rPr>
      </w:pPr>
      <w:r>
        <w:rPr>
          <w:rStyle w:val="1_27047"/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постановления Правительства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pStyle w:val="891"/>
        <w:ind w:left="5102" w:right="0" w:firstLine="1"/>
        <w:jc w:val="center"/>
        <w:spacing w:after="0" w:afterAutospacing="0"/>
        <w:rPr>
          <w:rFonts w:ascii="Times New Roman" w:hAnsi="Times New Roman" w:cs="Times New Roman"/>
          <w:highlight w:val="white"/>
        </w:rPr>
      </w:pPr>
      <w:r>
        <w:rPr>
          <w:rStyle w:val="1_27047"/>
          <w:rFonts w:ascii="Times New Roman" w:hAnsi="Times New Roman" w:eastAsia="Times New Roman" w:cs="Times New Roman"/>
          <w:b w:val="0"/>
          <w:color w:val="000000"/>
          <w:sz w:val="28"/>
          <w:szCs w:val="28"/>
          <w:highlight w:val="white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pStyle w:val="891"/>
        <w:jc w:val="center"/>
        <w:spacing w:after="0" w:afterAutospacing="0" w:line="283" w:lineRule="atLeas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pStyle w:val="891"/>
        <w:jc w:val="center"/>
        <w:spacing w:after="0" w:afterAutospacing="0" w:line="283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91"/>
        <w:jc w:val="center"/>
        <w:spacing w:after="0" w:afterAutospacing="0" w:line="283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91"/>
        <w:jc w:val="center"/>
        <w:spacing w:after="0" w:afterAutospacing="0" w:line="283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91"/>
        <w:jc w:val="center"/>
        <w:spacing w:after="0" w:afterAutospacing="0" w:line="283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91"/>
        <w:jc w:val="center"/>
        <w:spacing w:after="0" w:afterAutospacing="0" w:line="283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91"/>
        <w:jc w:val="center"/>
        <w:spacing w:after="0" w:afterAutospacing="0" w:line="283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91"/>
        <w:jc w:val="center"/>
        <w:spacing w:after="0" w:afterAutospacing="0" w:line="283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91"/>
        <w:jc w:val="center"/>
        <w:spacing w:before="0" w:after="0" w:afterAutospacing="0" w:line="200" w:lineRule="atLeas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 внесении изменений в постановление Правительства Новосибирской области 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pStyle w:val="891"/>
        <w:jc w:val="center"/>
        <w:spacing w:before="0" w:after="0" w:afterAutospacing="0" w:line="283" w:lineRule="atLeast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19.03.2014 № 105-п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pStyle w:val="891"/>
        <w:ind w:left="0" w:right="0" w:firstLine="540"/>
        <w:jc w:val="both"/>
        <w:spacing w:after="0" w:afterAutospacing="0" w:line="283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91"/>
        <w:ind w:left="0" w:right="0" w:firstLine="540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91"/>
        <w:ind w:left="0" w:right="0" w:firstLine="709"/>
        <w:jc w:val="both"/>
        <w:spacing w:after="0" w:afterAutospacing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п о с т а н о в л я е т: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pStyle w:val="891"/>
        <w:ind w:left="0" w:right="0" w:firstLine="709"/>
        <w:jc w:val="both"/>
        <w:spacing w:after="0" w:afterAutospacing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Внести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постановление Правительства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 19.03.2014 № 105-п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«О Порядке начисления и обеспечения выплаты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следующие изменения: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pStyle w:val="891"/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наименовании слово «начисления» заменить словом «назначения».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Преамбулу после слов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«В соответствии с»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дополнить словами «п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остановлением Правительства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от 27.05.2023 № 835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«Об утверждении единого стандарта предоставления компенсации расходов на оплату жилого помещения и коммунальных услуг отдельным категориям граждан»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,»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91"/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пункте 1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слово «начисления» заменить словом «назначения».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Порядок начисления и обеспечения выплаты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изложить в редакции согласно приложению к настоящему постановлению.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pStyle w:val="891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91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91"/>
        <w:jc w:val="both"/>
        <w:spacing w:line="283" w:lineRule="atLeast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891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Губернатор Новосибирской области                                            А.А. Травников</w:t>
      </w:r>
      <w:r>
        <w:rPr>
          <w:rFonts w:ascii="Times New Roman" w:hAnsi="Times New Roman" w:eastAsia="Times New Roman" w:cs="Times New Roman"/>
          <w:highlight w:val="white"/>
        </w:rPr>
      </w:r>
      <w:r>
        <w:rPr>
          <w:rFonts w:ascii="Times New Roman" w:hAnsi="Times New Roman" w:eastAsia="Times New Roman" w:cs="Times New Roman"/>
          <w:highlight w:val="white"/>
        </w:rPr>
      </w:r>
    </w:p>
    <w:p>
      <w:pPr>
        <w:ind w:left="5103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ind w:left="5103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pStyle w:val="891"/>
        <w:ind w:left="5103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ПРИЛОЖЕНИЕ </w:t>
      </w:r>
      <w:r>
        <w:rPr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p>
      <w:pPr>
        <w:pStyle w:val="891"/>
        <w:ind w:left="5103" w:right="0" w:firstLine="0"/>
        <w:jc w:val="center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 постановлению Правительства Новосибирской области</w:t>
      </w:r>
      <w:r>
        <w:rPr>
          <w:highlight w:val="white"/>
        </w:rPr>
      </w:r>
      <w:r>
        <w:rPr>
          <w:highlight w:val="white"/>
        </w:rPr>
      </w:r>
    </w:p>
    <w:p>
      <w:pPr>
        <w:pStyle w:val="891"/>
        <w:ind w:left="5103" w:right="0"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left="5103" w:right="0"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left="5245" w:right="0" w:firstLine="0"/>
        <w:jc w:val="center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«Приложение </w:t>
      </w:r>
      <w:r>
        <w:rPr>
          <w:highlight w:val="white"/>
        </w:rPr>
      </w:r>
      <w:r>
        <w:rPr>
          <w:highlight w:val="white"/>
        </w:rPr>
      </w:r>
    </w:p>
    <w:p>
      <w:pPr>
        <w:pStyle w:val="891"/>
        <w:ind w:left="5245" w:right="0" w:firstLine="0"/>
        <w:jc w:val="center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 постановлению</w:t>
      </w:r>
      <w:r>
        <w:rPr>
          <w:highlight w:val="white"/>
        </w:rPr>
      </w:r>
      <w:r>
        <w:rPr>
          <w:highlight w:val="white"/>
        </w:rPr>
      </w:r>
    </w:p>
    <w:p>
      <w:pPr>
        <w:pStyle w:val="891"/>
        <w:ind w:left="5245" w:right="0" w:firstLine="0"/>
        <w:jc w:val="center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Правительства Новосибирской области от 19.03.2014 № 105-п</w:t>
      </w:r>
      <w:r>
        <w:rPr>
          <w:highlight w:val="white"/>
        </w:rPr>
      </w:r>
      <w:r>
        <w:rPr>
          <w:highlight w:val="white"/>
        </w:rPr>
      </w:r>
    </w:p>
    <w:p>
      <w:pPr>
        <w:pStyle w:val="891"/>
        <w:ind w:left="5103" w:right="0"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left="5103" w:right="0" w:firstLine="54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  <w:u w:val="none"/>
        </w:rPr>
      </w:pPr>
      <w:r>
        <w:rPr>
          <w:highlight w:val="white"/>
        </w:rPr>
        <w:fldChar w:fldCharType="begin"/>
      </w:r>
      <w:r>
        <w:rPr>
          <w:highlight w:val="white"/>
        </w:rPr>
        <w:instrText xml:space="preserve"> HYPERLINK "consultantplus://offline/ref=E25E37BC3E703CECB178473BE9F8E82B90B039FBE5E033094E3FD5F634D13CE6F0C60E582E30AA9756565EB92C2FFD92229EB7667C76EAF6D0619C1Dp8G4C"</w:instrText>
      </w:r>
      <w:r>
        <w:rPr>
          <w:highlight w:val="white"/>
        </w:rPr>
        <w:fldChar w:fldCharType="separate"/>
      </w:r>
      <w:r>
        <w:rPr>
          <w:rStyle w:val="899"/>
          <w:rFonts w:ascii="Times New Roman" w:hAnsi="Times New Roman" w:cs="Times New Roman"/>
          <w:b/>
          <w:color w:val="000000"/>
          <w:sz w:val="28"/>
          <w:szCs w:val="28"/>
          <w:highlight w:val="white"/>
          <w:u w:val="none"/>
        </w:rPr>
        <w:t xml:space="preserve">ПОРЯДОК</w:t>
      </w:r>
      <w:r>
        <w:rPr>
          <w:highlight w:val="white"/>
        </w:rPr>
        <w:fldChar w:fldCharType="end"/>
      </w:r>
      <w:r>
        <w:rPr>
          <w:rFonts w:ascii="Times New Roman" w:hAnsi="Times New Roman" w:cs="Times New Roman"/>
          <w:b/>
          <w:sz w:val="28"/>
          <w:szCs w:val="28"/>
          <w:highlight w:val="white"/>
          <w:u w:val="non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  <w:u w:val="none"/>
        </w:rPr>
      </w:r>
    </w:p>
    <w:p>
      <w:pPr>
        <w:jc w:val="center"/>
        <w:spacing w:before="0"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назначения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 обеспечения выплаты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p>
      <w:pPr>
        <w:pStyle w:val="891"/>
        <w:jc w:val="center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(далее – Порядок)</w:t>
      </w:r>
      <w:r>
        <w:rPr>
          <w:highlight w:val="white"/>
        </w:rPr>
      </w:r>
      <w:r>
        <w:rPr>
          <w:highlight w:val="white"/>
        </w:rPr>
      </w:r>
    </w:p>
    <w:p>
      <w:pPr>
        <w:pStyle w:val="891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1"/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1. 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Порядок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разработан для определения механизма начисления и обеспечения выплаты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 (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далее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компенсация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), установленным статьей 2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Закона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Новосибирской области от 06.12.2013 № 380-ОЗ «О порядке и условиях предоставления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области» (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далее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pStyle w:val="891"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2. 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Предоставление компенсации осуществляется ежемесячно государственным казенным учреждением Новосибирской области, подведомственным министерству труда и социального развития Новосибирской области (далее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центр социальной поддержки населения)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, по месту житель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ства или месту пребывания в жилом помещении, не являющемся местом жительства гражданина, по его выбору, в срок, предусмотренный Законом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3. Гражданину, впервые обратившемуся за компенсацией, компенсация предоставляется в заявительном порядке в соответствии с частями 2-8 статьи 3 Закона.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2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4. 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:lang w:eastAsia="ru-RU"/>
        </w:rPr>
        <w:t xml:space="preserve">Заявление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 компенсации расходов на оплату жилого помещения и коммунальных услуг отдельным категориям граждан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:lang w:eastAsia="ru-RU"/>
        </w:rPr>
        <w:t xml:space="preserve">далее – заявление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о предоставлении компенсации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:lang w:eastAsia="ru-RU"/>
        </w:rPr>
        <w:t xml:space="preserve">по форме, утверждаемой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:lang w:eastAsia="ru-RU"/>
        </w:rPr>
        <w:t xml:space="preserve">приказом министерства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u w:val="none"/>
          <w:lang w:eastAsia="ru-RU"/>
        </w:rPr>
        <w:t xml:space="preserve"> труда и социального развития Новосибирской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области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соотве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тствии с рекомендуемой формой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согласно приложению № 1 к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единому стандарту предоставления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компенсации расходов на оплату жилого помещения и коммунальных услуг отдельным категориям граждан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, утвержденному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остановлением Правительства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Российской Федерации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от 27.05.2023 № 835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«Об утверждении единого стандарта предоставления компенсации расходов на оплату жилого помещения и коммунальных услуг отдельным категориям граждан»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далее – Единый стандарт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),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прилагаемыми документами (сведениями), необходимыми для назначения компенсации, в соответствии с частями 3-6 статьи 3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документы (сведения))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подается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заявителем или его уполномоченным представителем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одним из следующих способов: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891"/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1) лично при обращении в центр социальной поддержки населения или в многофункциональный центр предоставления государственных и муниципальных услуг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на бумажном носителе;</w:t>
      </w:r>
      <w:r>
        <w:rPr>
          <w:highlight w:val="white"/>
        </w:rPr>
      </w:r>
      <w:r>
        <w:rPr>
          <w:highlight w:val="white"/>
        </w:rPr>
      </w:r>
    </w:p>
    <w:p>
      <w:pPr>
        <w:pStyle w:val="891"/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2) в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электронной форме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 использованием федеральной государственной информационной системы «Единый портал государственных и муниципальных услуг (функций)»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(далее – единый портал)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5. 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окументы (сведения), составленные на украинском языке, представляются заявителями из числа граждан Российской Федерации, иностранных граждан и лиц без гражданства, постоянно проживавших на территориях Донецкой Народной Республики, Луганской Народной Респуб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ики,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(30 сентября 2022 г.), постоянно проживавших на территориях Донецкой Народной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еспублики и Луганской Народной Республики с 11 мая 2014 г. по 29 сентября 2022 г., на территориях Запорожской области и Херсонской области с 24 февраля 2022 г. по 29 сентября 2022 г. и выехавших в эти периоды за пределы указанных территорий в Российскую Фе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ерацию, в том числе через территории третьих государств, или постоянно проживавших по состоянию на день вступления в силу Федерального закона от 17.02.2023 № 18 «Об особенностях правового регулирования отношений в сфере социальной защиты и социального обслуживания граждан,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роживающих на территориях Донецкой Народной Республики, Луганской Народной Республики, Запорожской области и Херсонской области» на территориях указанных субъектов Российской Федерации, лично без перевода на русский язык.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6. Подача в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центр социальной поддержки населения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заявления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предоставлении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компенсации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с прилагаемыми документами (сведениями) в электронной форме с использованием единого портала осуществляется с использованием простой электронной подписи при условии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что личность заявителя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его уполномоченного представител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установлена при личном приеме при выдаче ключа простой электронной подписи, или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7. Регистрация заявления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предоставлении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компенсации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с прилагаемыми документами (сведениями),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поданного лично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 обращении в центр социальной поддержки населения или в многофункциональный центр предоставления государственных и муниципальных услуг,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осуществляется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центре социальной поддержки населения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в день его поступления.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Регистрация заявления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предоставлении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компенсации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 прилагаемыми документами (сведениями),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поданного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электронной форме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 использованием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единого портала,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осуществляется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не позднее одного рабочего дня со дня его направления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8. Основаниями для отказа в приеме заявления о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предоставлении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компенсации с документами (сведениями) являются: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а) неполное или некорректное заполнение полей в форме заявления 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предоставлении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компенсации, в том числе в интерактивной форме заявления 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компенсации на едином портале;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б) истечение срока действия документа (сведений) (на день подачи заявления о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предоставлении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компенсации);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в) представленные документы (сведения) содержат подчистки и исправления текста, не заверенные в порядке, установленном законодательством Российской Федерации;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г) подача заявления о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предоставлении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компенсации лицом, не уполномоченным на осуществление таких действий;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д) представленные документы (сведения) содержат повреждения, наличие которых не позволяет в полном объеме использовать информацию, содержащуюся в них, для предоставления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компенсации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;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е) представление документов (сведений), не соответствующих по форме или содержанию требованиям законодательства Российской Федерации;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ж) заявление 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компенсации с документами (сведениями) подано в электронной форме с нарушением установленных требований.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9. Заявитель (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его уполномоченный представител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ь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) несет ответственность за неполноту и недостоверность сведений, указанных в заявлении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 предоставлении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компенсации, в соответствии с законодательством Российской Федерации.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0. При подаче заявления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 предоставлении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компенсации посредством единого портала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центр социальной поддержки населения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случае необходимости представления документов (сведений), обязанность по представлению которых возложена на заявителя в соответстви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с Перечнем (в зависимости от сложившейся конкретной жизненной ситуации), не позднее одного рабочего дня со дня регистрации заявления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 предоставлении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компенсации направляет заявителю через единый портал уведомление о необходимости представления д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окументов (сведений).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Заявитель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его уполномоченный представител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ь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течение пяти рабочих дней со дня получения уведомления от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центра социальной поддержки населения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представляет документы (сведения) в соответствии с Перечнем (в зависимости от сложившейся конкретной жизненной ситуации).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1. В случае если при личном обращении за предоставлением компенсации, в том числе через многофункциональный центр, заявителем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его уполномоченным представител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ем)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представлен неполный комплект документов (сведений), обязанность по представлению которых возложена на заявителя 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частями 3-5 статьи 3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(в зависимости от сложившейся конкретной жизненной ситуации), заявитель обязан представить в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центр социальной поддержки населения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течение пяти рабочих дней со дня регистрации заявления о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 предоставлении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компенсации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центром социальной поддержки населения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, недостающие документы (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сведения).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12. Срок рассмотрения заявления 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компенсации приостанавливается на 10 рабочих дней в случае непоступления документов (сведений), запрашиваемых посредством единой системы межведомственного электронного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13. В случае установления факта наличия в заявлении 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компенсации и (или) документах (сведениях), представленных заявителем, неполной информации,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центр социальной поддержки населения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приостанавливает предоставление компенсации и не позднее одного рабочего дня со дня п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ринятия данного решения уведомляет заявителя о приостановлении рассмотрения заявления 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компенсации с указанием информации, подлежащей корректировке, но не более чем на пять рабочих дней со дня получения заявителем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его уполномоченным представител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ем)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уведомления.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Заявитель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его уполномоченный представител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ь)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в течение пяти рабочих дней после получения уведомления о приостановке предоставления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компенсации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направляет в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центр социальной поддержки населения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(способом, указанным в заявлении 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компенсации), доработанное заявление 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компенсации и (или) доработанные докумен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ты (сведения).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14. В личном кабинете заявителя на едином портале размещаются статусы о ходе предоставления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компенсации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: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а) заявление 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компенсации зарегистрировано;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б) предоставление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компенсации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приостановлено;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в)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компенсаци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предоставлена;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г) в предоставлении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компенсации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отказано.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15. 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соответствии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частью 7 статьи 3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заявитель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его уполномоченный представител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ь)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уведомляется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принятом решении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предоставлении компенсации либо об отказе в предоставлении компенсации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письменной форме не позднее трех рабочих дней со дня принятия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соответствующего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решения.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16. Заявитель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его уполномоченный представител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ь)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 обнаружении допущенных опечаток и ошибок в выданных в результате предоставления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компенсации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документах обращается в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центр социальной поддержки населения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с заявлением о необходимости исправления опечаток и ошибок, составленным в свободной форме, в кот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ором содержится указание на их описание.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Ц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ентр социальной поддержки населения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компенсации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документы.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случае необходимости внесения изменений в выданные в результате предоставления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компенсации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документы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центр социальной поддержки населения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обеспечивает устранение допущенных опечаток и ошибок в таких документах и уведомляет заявителя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его уполномоченного представител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я)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о возможности получения исправлен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ных документов способом, указанным в заявлении о необходимости исправления опечаток и ошибок, в срок, не превышающий пяти рабочих дней со дня регистрации такого заявления о необходимости исправления опечаток и ошибок.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случае отсутствия необходимости внесения изменений в выданные в результате предоставления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компенсации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документы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центр социальной поддержки населения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уведомляет об этом заявителя способом, указанным в заявлении о необходимости исправления опечаток и ошибок, в срок, н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 превышающий пяти рабочих дней со дня регистрации заявления о необходимости исправления опечаток и ошибок.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17. Ц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ентр социальной поддержки населения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 обнаружении допущенных опечаток и ошибок в выданных в результате предоставления компенсации документах обеспечивает их устранение и направляет заявителю документы в срок, не превышающий пяти рабочих дней со дня обнаружения так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их опечаток и ошибок, способом, указанным в заявлении о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предоставлении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компенсации.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18. Центр социальной поддержки населения ведет в отношении каждого гражданина, получающего компенсацию, личное дело в порядке, установленном министерством труда и социального развития Новосибирской области.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19. Центр социальной поддержки населения первого числа каждого месяца в соответствии с заключенными с организациями, осуществляющими управление многоквартирным домом, ресурсоснабжающими организациями, организациями, предоставляющими коммунальные услуги (дале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поставщики жилищно-коммунальных услуг), соглашениями об информационном обмене 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соглашения) представляет поставщикам жилищно-коммунальных услуг информацию о гражданах, имеющих право на компенсацию.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20. Поставщики жилищно-коммунальных услуг в порядке, установленном соглашениями, представляют в центр социальной поддержки населения не позднее 11 числа каждого месяца сведения о размере рассчитанной и внесенной платы за жилое помещение и коммунальные услуги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в порядке, установленном соглашением об информационном обмене с центром социальной поддержки населения по месту жительства или месту пребывания в жилом помещении, не являющемся местом жительства гражданина, получающего компенсацию, по его выбору.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21. При ежемесячном представлении в центр социальной поддержки населения сведений о размере рассчитанной и внесенной платы за жилое помещение и коммунальные услуги гражданином по собственной инициативе указанные сведения представляются в центр социальной под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держки населения не позднее 12 числа месяца, следующего за расчетным.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22. При совместном проживании гражданина, имеющего право на компенсацию, с иными гражданами предоставление компенсации производится исходя из его доли в составе общих расходов по оплате жилого помещения и коммунальных услуг, приходящихся на всех граждан, зар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егистрированных по месту жительства или месту пребывания в указанном жилом помещении.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 временном отсутствии гражданина, зарегистрированного по месту жительства совместно с гражданином, имеющим право на компенсацию, определение величины компенсации производится без учета доли этого гражданина в составе общих расходов по оплате жилого помещ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ения и коммунальных услуг при представлении документов, подтверждающих продолжительность периода его временного отсутствия, и сведений, подтверждающих наличие перерасчета размера платы за отдельные виды коммунальных услуг за период его временного отсутствия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, произведенного в соответствии с постановлением Правительства Российской Федерации от 06.05.2011 № 354 «О предоставлении коммунальных услуг собственникам и пользователям помещений в многоквартирных домах и жилых домов».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23. При совместном проживании двух и более граждан, имеющих право на компенсацию, предоставление компенсации производится каждому из них исходя из его доли в составе общих расходов по оплате жилого помещения и коммунальных услуг, приходящихся на всех гражда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н, зарегистрированных по месту жительства или месту пребывания в указанном жилом помещении.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24. Величина компенсации гражданам, чьи права на компенсацию предусмотрены нормативными правовыми актами, указанными в пунктах 11, 13, 15, 16 статьи 2 Закона, определяется с учетом регионального стандарта стоимости жилищно-коммунальных услуг, установленного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Губернатором Новосибирской области.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Гражданам, проживающим в жилых домах, уровень благоустройства которых соответствует данным об уровне благоустройства многоквартирных домов, ежегодно представляемым органами местного самоуправления муниципальных образований Новосибирской области в соответств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ии с частью 3 статьи 5 Закона Новосибирской области от 05.12.2006 № 60-ОЗ «О региональных стандартах оплаты жилого помещения и коммунальных услуг в Новосибирской области», применяется региональный стандарт стоимости жилищно-коммунальных услуг, установленный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по соответствующему муниципальному образованию для многоквартирных домов.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Гражданам, проживающим в многоквартирных домах, уровень благоустройства которых соответствует данным об уровне благоустройства жилых домов, ежегодно представляемым органами местного самоуправления муниципальных образований Новосибирской области в соответств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ии с частью 3 статьи 5 Закона Новосибирской области от 05.12.2006 № 60-ОЗ «О региональных стандартах оплаты жилого помещения и коммунальных услуг в Новосибирской области», применяется региональный стандарт стоимости жилищно-коммунальных услуг, установленный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по соответствующему муниципальному образованию для жилых домов.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Сведения о многоквартирных (жилых) домах, уровень благоустройства которых соответствует данным об уровне благоустройства жилых (многоквартирных) домов, ежегодно представляемым органами местного самоуправления муниципальных образований Новосибирской области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соответствии с частью 3 статьи 5 Закона Новосибирской области от 05.12.2006 №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 60-ОЗ «О региональных стандартах оплаты жилого помещения и коммунальных услуг в Новосибирской области», представляются в министерство труда и социального развития Новосибирской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области органами местного самоуправления в течение 15 календарных дней с момента установления факта соответствия уровня благоустройства многоквартирных (жилых) домов данным об уровне благоустройства жилых (многоквартирных) домов.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случае определения величины компенсации с учетом сведений о размере рассчитанной и внесенной платы за поставку твердого топлива при наличии печного отопления часть компенсации, приходящаяся на поставку твердого топлива, выплачивается за 12 месяцев единовр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еменно в месяце поступления сведений о размере рассчитанной и внесенной платы за поставку твердого топлива. Выплаченная часть компенсации, приходящаяся на поставку твердого топлива, учитывается при определении величины компенсации, в том числе ограниченной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региональным стандартом стоимости жилищно-коммунальных услуг, в течение последующих 11 месяцев.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25. Центр социальной поддержки населения в соответствии с пунктами </w:t>
        <w:br/>
        <w:t xml:space="preserve">19-24 настоящего Порядка производит назначение компенсации и не позднее 14 числа каждого месяца направляет в министерство труда и социального развития Новосибирской области заявку на финанс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ирование расходов по предоставлению компенсаций по форме согласно приложению № 1 к настоящему Порядку.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26. Министерство труда и социального развития Новосибирской области на основании полученных от центров социальной поддержки населения заявок на финансирование расходов по предоставлению компенсаций формирует сводную бюджетную заявку на финансирование расход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ов по предоставлению компенсаций по форме согласно приложению № 2 к настоящему Порядку и не позднее 16 числа каждого месяца направляет ее в министерство финансов и налоговой политики Новосибирской области.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27. Финансирование расходов по предоставлению компенсаций, предусмотренных законом Новосибирской области об областном бюджете Новосибирской области на текущий год и плановый период, по министерству труда и социального развития Новосибирской области осуществ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ляется в соответствии со сводной бюджетной росписью областного бюджета Новосибирской области и порядком составления и ведения сводной бюджетной росписи областного бюджета Новосибирской области, установленным министерством финансов и налоговой политики Новос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ибирской области.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28. Выплата компенсации производится гражданину в соответствии с частью 3 статьи 4 Закона.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29. Центр социальной поддержки населения ежемесячно до 5 числа месяца, следующего за отчетным, представляет в министерство труда и социального развития Новосибирской области отчеты об использовании бюджетных средств на финансирование расходов по предоставле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нию компенсаций по форме согласно приложению № 3 к настоящему Порядку.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Министерство труда и социального развития Новосибирской области ежемесячно до 10 числа месяца, следующего за отчетным, представляет в министерство финансов и налоговой политики Новосибирской области сводный отчет об использовании бюджетных средств на финанс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ирование расходов по предоставлению компенсаций с начала текущего года по форме согласно приложению № 4 к настоящему Порядку.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30. При изменении места жительства или места пребывания гражданина в пределах Новосибирской области центр социальной поддержки населения в течение семи рабочих дней со дня поступления от гражданина заявления и документов, подтверждающих указанное обстоятель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ство, пересылает личное дело в центр социальной поддержки населения по новому месту жительства (месту пребывания) гражданина с приложением справки о периодах, за которые произведена выплата компенсации.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31. В случае если компенсация гражданину не выплачена, в справке о периодах, за которые произведена выплата компенсации, указывается, по какой причине компенсация гражданину не выплачена.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32. При изменении места жительства или места пребывания в пределах Новосибирской области компенсация гражданину предоставляется центром социальной поддержки населения по новому месту жительства или месту пребывания в жилом помещении, не являющемся местом жи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тельства гражданина, по его выбору, с месяца приема заявления о предоставлении компенсации.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случае получения компенсации в текущем месяце по предыдущему месту жительства или месту пребывания компенсация по новому месту жительства или месту пребывания в жилом помещении, не являющемся местом жительства гражданина, по его выбору, назначается центро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м социальной поддержки населения с месяца, следующего за месяцем приема заявления о предоставлении компенсации.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случае наличия недополученной компенсации центр социальной поддержки населения по новому месту жительства или месту пребывания в жилом помещении, не являющемся местом жительства гражданина, по его выбору, производит выплату согласно справке, указанной в п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ункте 30 настоящего Порядка.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33. Компенсация подлежит перерасчету при наступлении обстоятельств, влекущих ее увеличение, с месяца приема заявления гражданина, получающего компенсацию, о наступлении указанных обстоятельств.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 наступлении обстоятельств, влекущих уменьшение размера компенсации, перерасчет компенсации производится с месяца, следующего за месяцем наступления указанных обстоятельств.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Компенсация, полученная по предыдущему месту жительства или месту пребывания, подлежит перерасчету с учетом даты возникновения права на компенсацию по новому месту жительства или месту пребывания в жилом помещении.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34. Если предоставление компенсации ограничено сроком действия соответствующего основания для ее предоставления и в течение 30 дней со дня окончания указанного срока в рамках межведомственного информационного взаимодействия в соответствии с Федеральным за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коном от 27.07.2010 № 210-ФЗ «Об организации предоставления государственных и муниципальных услуг» (далее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–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Федеральный закон № 210-ФЗ) из органа, уполномоченного на установление соответствующего основания, в инициативном порядке либо на основании запроса,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направленного центром социальной поддержки населения в течение 10 дней со дня окончания срока, поступила информация о продлении действия данного основания, то предоставление компенсации продлевается гражданину в беззаявительном порядке на период продления д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ействия этого основания.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случае поступления информации о продлении действия основания для предоставления компенсации по истечении 30 дней со дня окончания срока предоставление компенсации гражданину продлевается в беззаявительном порядке на новый срок со дня продления действия эт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ого основания.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35. При наличии у гражданина права на компенсацию по различным основаниям, компенсация предоставляется по одному основанию по выбору гражданина в соответствии с его письменным заявлением о предоставлении компенсации в связи с изменением основания предоставл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ения компенсации.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Указанное заявление подается в центр социальной поддержки населения гражданином или его представителями в срок до 1 октября текущего года и учитывается с 1 января следующего года на неопределенный срок вплоть до подачи нового заявления о предоставлении комп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енсации в связи с изменением основания предоставления компенсации.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При возникновении у гражданина, получающего компенсацию, впервые права на компенсацию по новому основанию компенсация по новому основанию предоставляется гражданину при обращении гражданина в течение года со дня возникновения права. Компенсация по новому ос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нованию предоставляется с месяца подачи письменного заявления о предоставлении компенсации в связи с изменением основания предоставления компенсации, в котором указывается отказ от компенсации по ранее заявленному основанию (сроки, указанные в абзаце втором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настоящего пункта, не применяются). Гражданином представляется документ, подтверждающий право на компенсацию по новому основанию.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случае если предоставление компенсации по новому основанию ограничено сроком действия, и по окончании срока гражданином не представлено заявление о продлении срока предоставления компенсации по данному основанию или не поступила информация в рамках межвед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омственного информационного взаимодействия в соответствии с Федеральным законом № 210-ФЗ о продлении срока действия указанного основания, то гражданину возобновляется предоставление компенсации по ранее заявленному основанию в беззаявительном порядке.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36. Компенсация, начисленная гражданину, но не полученная в связи с его смертью, подлежит получению в порядке, установленном статьей 1183 Гражданского кодекса Российской Федерации.</w:t>
      </w:r>
      <w:r>
        <w:rPr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случае смерти гражданина расчет подлежащей выплате суммы компенсации за месяц, в котором он умер, осуществляется пропорционально количеству дней до дня смерти.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__________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 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Порядку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назначения и обеспечения выплаты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компенсаций расходов на оплату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жилого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помещения и (или) коммунальных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отдельным категориям граждан,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проживающих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_11035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Заявка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1_110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финансирование расходов по предоставлению компенсаций расходов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0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оплату жилого помещения и (или) коммунальных услуг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отдельным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0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категориям граждан, проживающих на территории Новосибирской области,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0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 ______________ месяц 20_____ года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03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государственного казенного учреждения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Новосибирской области «Центр социальной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поддержки населения ____________________________________________»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0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0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Областной бюджет Новосибирской области                                                                                       (тыс. рублей)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9"/>
        <w:spacing w:after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458"/>
        <w:gridCol w:w="2131"/>
        <w:gridCol w:w="1843"/>
        <w:gridCol w:w="1984"/>
      </w:tblGrid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категории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Классификация &lt;*&gt;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Расчетный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Планируемый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restart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Ветераны 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restart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Ветераны труда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69"/>
        </w:trPr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restart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Лица, имеющие почетное звание Российской Федерации, РСФСР или СССР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restart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Граждане, проживающие и работающие в сельской местности и поселках городского типа на территории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restart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Работники образования, проживающие и работающие в сельской местности и поселках городского типа на территории Новосибирской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restart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Многодетные и приемные семьи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restart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Матери, награжденные знаком отличия «За материнскую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доблесть»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restart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Лица, подвергшиеся политическим репрессиям и признанные реабилитированными, и лица, признанные пострадавшими от политических репрессий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1_110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Федеральный бюджет                                                                                                                            (тыс. рублей)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9"/>
        <w:spacing w:after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458"/>
        <w:gridCol w:w="2131"/>
        <w:gridCol w:w="1843"/>
        <w:gridCol w:w="1984"/>
      </w:tblGrid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категории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Классификация &lt;*&gt;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Расчетный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Планируемый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Все категории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909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_110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&lt;*&gt; Данные представляются в разрезе кодов бюджетной классификации.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_110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_110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_1103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_110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государственного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0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казенного учреждения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Новосибирской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0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области «Центр социальной поддержки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0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населения ________________________»  ______________ 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0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М.П.                               (подпись)          (расшифровка подписи)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nil" w:color="000000"/>
        <w:rPr>
          <w:rFonts w:ascii="Times New Roman" w:hAnsi="Times New Roman" w:cs="Times New Roman"/>
          <w:sz w:val="28"/>
          <w:szCs w:val="28"/>
        </w:rPr>
        <w:sectPr>
          <w:headerReference w:type="default" r:id="rId8"/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left="9071" w:right="0" w:firstLine="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 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left="9071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Порядку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назначения и обеспечения выплаты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компенсаций расходов на оплату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жилого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помещения и (или) коммунальных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отдельным категориям граждан,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проживающих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Сводная бюджетная заявка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финансирование расходов по предоставлению компенсаций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расходов на оплату жилого помещения и (или) коммунальных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услуг отдельным категориям граждан, проживающих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Новосибирской области,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____________________ 20_____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(расчетный месяц)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тыс.руб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479"/>
        <w:gridCol w:w="992"/>
        <w:gridCol w:w="1134"/>
        <w:gridCol w:w="1417"/>
        <w:gridCol w:w="1701"/>
        <w:gridCol w:w="1701"/>
        <w:gridCol w:w="1417"/>
        <w:gridCol w:w="1559"/>
        <w:gridCol w:w="1843"/>
        <w:gridCol w:w="1417"/>
      </w:tblGrid>
      <w:tr>
        <w:trPr/>
        <w:tc>
          <w:tcPr>
            <w:tcW w:w="1479" w:type="dxa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района (города)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9"/>
            <w:tcW w:w="1318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Потребность в бюджетных средствах 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финансирование расходов по предоставлению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области, за счет средств областного бюджета Новосибирской области &lt;*&gt;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479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Ветераны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Ветераны труда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Лица, имеющие почетное звание Российской Федерации, РСФСР или СССР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Граждане, проживающие и работающие в сельской местности и поселках городского типа на территории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Работники образования, проживающие и работающие в сельской местности и поселках городского типа на территории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Многодетные и приемные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Матери, награжденные знаком отличия «За материнскую доблесть»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Лица, подвергшиеся политическим репрессиям и признанные реабилитированными, и лица, признанные пострадавшими от политических репрессий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Общая 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479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1479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тыс. руб.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471"/>
        <w:gridCol w:w="6378"/>
        <w:gridCol w:w="5811"/>
      </w:tblGrid>
      <w:tr>
        <w:trPr/>
        <w:tc>
          <w:tcPr>
            <w:tcW w:w="2471" w:type="dxa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района (города)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2189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Потребность в бюджетны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 средствах на финансирование расходов по предоставлению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области, за счет субвенций из федерального бюджета &lt;*&gt;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471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6378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 категории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47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247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378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81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&lt;*&gt; Данные представляются в разрезе кодов бюджетной классификации.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0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 труда и социального развития Новосибирской области _____________ 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М.П.            (подпись)    (расшифровка подписи)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6838" w:h="11905" w:orient="landscape"/>
          <w:pgMar w:top="1701" w:right="1134" w:bottom="850" w:left="1134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 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left="4394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Порядку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назначения и обеспечения выплаты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компенсаций расходов на оплату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жилого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помещения и (или) коммунальных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отдельным категориям граждан,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проживающих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Отчет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 использовании бюджетных средств на финансирование расходов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предоставлению компенсаций расходов на оплату жилого помещения и (или)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коммунальных услуг отдельным категориям граждан, проживающих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территории Новосибирской области,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____________ месяц 20_____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государственного казенного учреждения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 «Центр социальной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поддержки населения __________________________»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Областной бюджет Новосибирской области                                   (тыс. рублей)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spacing w:after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458"/>
        <w:gridCol w:w="2131"/>
        <w:gridCol w:w="1611"/>
        <w:gridCol w:w="1871"/>
      </w:tblGrid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категории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Классификация &lt;*&gt;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Расчетный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Планируемый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restart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Ветераны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restart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Ветераны труда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restart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Лица, имеющие почетное звание Российской Федерации, РСФСР или СССР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restart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Граждане, проживающие и работающие в сельской местности и поселках городского типа на территории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restart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Работники образования, проживающие и работающие в сельской местности и поселках городского типа на территории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restart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Многодетные и приемные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restart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Матери, награжденные знаком отличия «За материнскую доблесть»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restart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Лица, подвергшиеся политическим репрессиям и признанные реабилитированными, и лица, признанные пострадавшими от политических репрессий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3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1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0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0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Федеральный бюджет                                                                                        (тыс. рублей)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spacing w:after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458"/>
        <w:gridCol w:w="1871"/>
        <w:gridCol w:w="1871"/>
        <w:gridCol w:w="1871"/>
      </w:tblGrid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категории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Классификация &lt;*&gt;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Остаток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 категории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3458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9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0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0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&lt;*&gt; Данные представляются в разрезе кодов бюджетной классификации.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0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0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государственного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0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казенного учреждения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Новосибирской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0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области «Центр социальной поддержки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0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населения ________________________»  _____________ 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0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М.П.                   (подпись)    (расшифровка подписи)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nil" w:color="0000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nil" w:color="000000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w="11905" w:h="16838" w:orient="portrait"/>
          <w:pgMar w:top="1134" w:right="850" w:bottom="1134" w:left="1701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left="9213" w:right="0" w:firstLine="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 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left="9213"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Порядку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назначения и обеспечения выплаты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компенсаций расходов на оплату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жилого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помещения и (или) коммунальных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отдельным категориям граждан,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проживающих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Сводный отчет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 использовании бюджетных средств на финансирование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компенсаций расходов на оплату жилого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помещения и (или) коммунальных услуг отдельным категориям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граждан, проживающих на территории Новосибирской области,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 _______________________________ месяц 20_____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(месяц, следующий 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расчетным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тыс. рублей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tabs>
          <w:tab w:val="left" w:pos="5903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shd w:val="ni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tabs>
          <w:tab w:val="left" w:pos="5903" w:leader="none"/>
        </w:tabs>
        <w:rPr>
          <w:rFonts w:ascii="Times New Roman" w:hAnsi="Times New Roman" w:cs="Times New Roman"/>
          <w:sz w:val="28"/>
          <w:szCs w:val="28"/>
          <w:highlight w:val="none"/>
        </w:rPr>
        <w:sectPr>
          <w:footnotePr/>
          <w:endnotePr/>
          <w:type w:val="continuous"/>
          <w:pgSz w:w="16838" w:h="11905" w:orient="landscape"/>
          <w:pgMar w:top="1701" w:right="1134" w:bottom="850" w:left="1134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196"/>
        <w:gridCol w:w="567"/>
        <w:gridCol w:w="425"/>
        <w:gridCol w:w="425"/>
        <w:gridCol w:w="425"/>
        <w:gridCol w:w="567"/>
        <w:gridCol w:w="425"/>
        <w:gridCol w:w="425"/>
        <w:gridCol w:w="42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</w:tblGrid>
      <w:tr>
        <w:trPr/>
        <w:tc>
          <w:tcPr>
            <w:tcW w:w="1196" w:type="dxa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Наименование района (города)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27"/>
            <w:tcW w:w="1403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Бюджетные средства на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финансирование расходов по предоставлению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области, за счет средств областного бюджета Новосибирской области &lt;*&gt;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W w:w="1196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gridSpan w:val="3"/>
            <w:tcW w:w="141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Ветераны труда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3"/>
            <w:tcW w:w="141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Ветераны труда Новосибирской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3"/>
            <w:tcW w:w="141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Лица, имеющие почетное звание Российской Федерации, РСФСР или СССР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3"/>
            <w:tcW w:w="1559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Граждане, проживающие и работающие в сельской местности и поселках городского типа на территории Новосибирской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3"/>
            <w:tcW w:w="170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Многодетные и приемные семьи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3"/>
            <w:tcW w:w="170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Матери, награжденные знаком отличия "За материнскую доблесть"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3"/>
            <w:tcW w:w="170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Работники образования, проживающие и работающие в сельской местности и поселках городского типа на территории Новосибирской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3"/>
            <w:tcW w:w="1701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Лица, подвергшиеся политическим репрессиям и признанные реабилитированными, и лица, признанные пострадавшими от политических репрессий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gridSpan w:val="3"/>
            <w:tcW w:w="141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Общая сумма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W w:w="1196" w:type="dxa"/>
            <w:vMerge w:val="continue"/>
            <w:textDirection w:val="lrTb"/>
            <w:noWrap w:val="false"/>
          </w:tcPr>
          <w:p>
            <w:pPr>
              <w:pStyle w:val="909"/>
            </w:pPr>
            <w:r/>
            <w:r/>
            <w:r/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выделено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использовано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остаток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выделено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использовано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остаток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выделено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использовано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остаток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выделено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использовано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остаток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выделено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использовано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остаток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выделено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909"/>
              <w:contextualSpacing w:val="0"/>
              <w:ind w:left="0" w:right="6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использовано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остаток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выделено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использовано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остаток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выделено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использовано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остаток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выделено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использовано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vAlign w:val="center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остаток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W w:w="1196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tabs>
                <w:tab w:val="left" w:pos="1559" w:leader="none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rPr/>
        <w:tc>
          <w:tcPr>
            <w:tcW w:w="1196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W w:w="425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</w:tbl>
    <w:p>
      <w:pPr>
        <w:pStyle w:val="909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тыс. рублей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746"/>
        <w:tblpPr w:horzAnchor="page" w:tblpX="1201" w:vertAnchor="page" w:tblpY="6133" w:leftFromText="181" w:topFromText="0" w:rightFromText="181" w:bottomFromText="0"/>
        <w:tblW w:w="15206" w:type="dxa"/>
        <w:tblLayout w:type="fixed"/>
        <w:tblLook w:val="04A0" w:firstRow="1" w:lastRow="0" w:firstColumn="1" w:lastColumn="0" w:noHBand="0" w:noVBand="1"/>
      </w:tblPr>
      <w:tblGrid>
        <w:gridCol w:w="2173"/>
        <w:gridCol w:w="3265"/>
        <w:gridCol w:w="4881"/>
        <w:gridCol w:w="4886"/>
      </w:tblGrid>
      <w:tr>
        <w:trPr>
          <w:trHeight w:val="936"/>
        </w:trPr>
        <w:tc>
          <w:tcPr>
            <w:tcW w:w="2173" w:type="dxa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 района (города)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9"/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13033" w:type="dxa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ые средства на финансирование расходов по предоставлению компенсаций расходов на оплату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жилого помещения и (или) коммунальных услуг отдельным категориям граждан, проживающих на территории Новосибирской области, за счет субвенций из федерального бюджета &lt;*&gt;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9"/>
              <w:jc w:val="center"/>
              <w:spacing w:after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375"/>
        </w:trPr>
        <w:tc>
          <w:tcPr>
            <w:tcW w:w="2173" w:type="dxa"/>
            <w:vMerge w:val="continue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13033" w:type="dxa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Все категории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19"/>
        </w:trPr>
        <w:tc>
          <w:tcPr>
            <w:tcW w:w="2173" w:type="dxa"/>
            <w:vMerge w:val="continue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65" w:type="dxa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выделено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81" w:type="dxa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86" w:type="dxa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остаток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19"/>
        </w:trPr>
        <w:tc>
          <w:tcPr>
            <w:tcW w:w="2173" w:type="dxa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65" w:type="dxa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81" w:type="dxa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886" w:type="dxa"/>
            <w:vMerge w:val="restart"/>
            <w:textDirection w:val="lrTb"/>
            <w:noWrap w:val="false"/>
          </w:tcPr>
          <w:p>
            <w:pPr>
              <w:pStyle w:val="9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&lt;*&gt; Данные представляются в разрезе кодов бюджетной классификации.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10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Министр труда и социального развития Новосибирской области _________________ 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110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                    М.П.                 (подпись)           (расшифровка подписи)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  <w:highlight w:val="none"/>
        </w:rPr>
      </w:pPr>
      <w: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</w:r>
    </w:p>
    <w:sectPr>
      <w:headerReference w:type="default" r:id="rId9"/>
      <w:headerReference w:type="even" r:id="rId10"/>
      <w:headerReference w:type="first" r:id="rId11"/>
      <w:footnotePr>
        <w:numRestart w:val="continuous"/>
      </w:footnotePr>
      <w:endnotePr/>
      <w:type w:val="nextPage"/>
      <w:pgSz w:w="16838" w:h="11906" w:orient="landscape"/>
      <w:pgMar w:top="1418" w:right="1134" w:bottom="567" w:left="1134" w:header="0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0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center"/>
      <w:spacing w:before="0"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906"/>
      <w:jc w:val="center"/>
      <w:spacing w:before="0"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906"/>
      <w:jc w:val="center"/>
      <w:spacing w:before="0"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906"/>
      <w:jc w:val="center"/>
      <w:spacing w:before="0"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  <w:r>
      <w:rPr>
        <w:rFonts w:ascii="Times New Roman" w:hAnsi="Times New Roman" w:cs="Times New Roman"/>
        <w:sz w:val="16"/>
        <w:szCs w:val="16"/>
      </w:rPr>
    </w:r>
  </w:p>
  <w:p>
    <w:pPr>
      <w:pStyle w:val="906"/>
      <w:jc w:val="center"/>
      <w:spacing w:before="0" w:after="0" w:line="240" w:lineRule="auto"/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 xml:space="preserve">15</w:t>
    </w:r>
    <w:r>
      <w:rPr>
        <w:rFonts w:ascii="Times New Roman" w:hAnsi="Times New Roman" w:cs="Times New Roman"/>
        <w:sz w:val="20"/>
        <w:szCs w:val="20"/>
      </w:rPr>
      <w:fldChar w:fldCharType="end"/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spacing w:before="0" w:after="2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2">
    <w:name w:val="Heading 1"/>
    <w:basedOn w:val="891"/>
    <w:next w:val="891"/>
    <w:link w:val="7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3">
    <w:name w:val="Heading 1 Char"/>
    <w:link w:val="712"/>
    <w:uiPriority w:val="9"/>
    <w:rPr>
      <w:rFonts w:ascii="Arial" w:hAnsi="Arial" w:eastAsia="Arial" w:cs="Arial"/>
      <w:sz w:val="40"/>
      <w:szCs w:val="40"/>
    </w:rPr>
  </w:style>
  <w:style w:type="paragraph" w:styleId="714">
    <w:name w:val="Heading 2"/>
    <w:basedOn w:val="891"/>
    <w:next w:val="891"/>
    <w:link w:val="7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5">
    <w:name w:val="Heading 2 Char"/>
    <w:link w:val="714"/>
    <w:uiPriority w:val="9"/>
    <w:rPr>
      <w:rFonts w:ascii="Arial" w:hAnsi="Arial" w:eastAsia="Arial" w:cs="Arial"/>
      <w:sz w:val="34"/>
    </w:rPr>
  </w:style>
  <w:style w:type="paragraph" w:styleId="716">
    <w:name w:val="Heading 3"/>
    <w:basedOn w:val="891"/>
    <w:next w:val="891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7">
    <w:name w:val="Heading 3 Char"/>
    <w:link w:val="716"/>
    <w:uiPriority w:val="9"/>
    <w:rPr>
      <w:rFonts w:ascii="Arial" w:hAnsi="Arial" w:eastAsia="Arial" w:cs="Arial"/>
      <w:sz w:val="30"/>
      <w:szCs w:val="30"/>
    </w:rPr>
  </w:style>
  <w:style w:type="paragraph" w:styleId="718">
    <w:name w:val="Heading 4"/>
    <w:basedOn w:val="891"/>
    <w:next w:val="891"/>
    <w:link w:val="7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9">
    <w:name w:val="Heading 4 Char"/>
    <w:link w:val="718"/>
    <w:uiPriority w:val="9"/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891"/>
    <w:next w:val="891"/>
    <w:link w:val="7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1">
    <w:name w:val="Heading 5 Char"/>
    <w:link w:val="720"/>
    <w:uiPriority w:val="9"/>
    <w:rPr>
      <w:rFonts w:ascii="Arial" w:hAnsi="Arial" w:eastAsia="Arial" w:cs="Arial"/>
      <w:b/>
      <w:bCs/>
      <w:sz w:val="24"/>
      <w:szCs w:val="24"/>
    </w:rPr>
  </w:style>
  <w:style w:type="paragraph" w:styleId="722">
    <w:name w:val="Heading 6"/>
    <w:basedOn w:val="891"/>
    <w:next w:val="891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3">
    <w:name w:val="Heading 6 Char"/>
    <w:link w:val="722"/>
    <w:uiPriority w:val="9"/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891"/>
    <w:next w:val="891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7 Char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6">
    <w:name w:val="Heading 8"/>
    <w:basedOn w:val="891"/>
    <w:next w:val="891"/>
    <w:link w:val="7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7">
    <w:name w:val="Heading 8 Char"/>
    <w:link w:val="726"/>
    <w:uiPriority w:val="9"/>
    <w:rPr>
      <w:rFonts w:ascii="Arial" w:hAnsi="Arial" w:eastAsia="Arial" w:cs="Arial"/>
      <w:i/>
      <w:iCs/>
      <w:sz w:val="22"/>
      <w:szCs w:val="22"/>
    </w:rPr>
  </w:style>
  <w:style w:type="paragraph" w:styleId="728">
    <w:name w:val="Heading 9"/>
    <w:basedOn w:val="891"/>
    <w:next w:val="891"/>
    <w:link w:val="7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9">
    <w:name w:val="Heading 9 Char"/>
    <w:link w:val="728"/>
    <w:uiPriority w:val="9"/>
    <w:rPr>
      <w:rFonts w:ascii="Arial" w:hAnsi="Arial" w:eastAsia="Arial" w:cs="Arial"/>
      <w:i/>
      <w:iCs/>
      <w:sz w:val="21"/>
      <w:szCs w:val="21"/>
    </w:rPr>
  </w:style>
  <w:style w:type="paragraph" w:styleId="730">
    <w:name w:val="List Paragraph"/>
    <w:basedOn w:val="891"/>
    <w:uiPriority w:val="34"/>
    <w:qFormat/>
    <w:pPr>
      <w:contextualSpacing/>
      <w:ind w:left="720"/>
    </w:pPr>
  </w:style>
  <w:style w:type="paragraph" w:styleId="731">
    <w:name w:val="No Spacing"/>
    <w:uiPriority w:val="1"/>
    <w:qFormat/>
    <w:pPr>
      <w:spacing w:before="0" w:after="0" w:line="240" w:lineRule="auto"/>
    </w:pPr>
  </w:style>
  <w:style w:type="paragraph" w:styleId="732">
    <w:name w:val="Title"/>
    <w:basedOn w:val="891"/>
    <w:next w:val="891"/>
    <w:link w:val="7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3">
    <w:name w:val="Title Char"/>
    <w:link w:val="732"/>
    <w:uiPriority w:val="10"/>
    <w:rPr>
      <w:sz w:val="48"/>
      <w:szCs w:val="48"/>
    </w:rPr>
  </w:style>
  <w:style w:type="paragraph" w:styleId="734">
    <w:name w:val="Subtitle"/>
    <w:basedOn w:val="891"/>
    <w:next w:val="891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>
    <w:name w:val="Subtitle Char"/>
    <w:link w:val="734"/>
    <w:uiPriority w:val="11"/>
    <w:rPr>
      <w:sz w:val="24"/>
      <w:szCs w:val="24"/>
    </w:rPr>
  </w:style>
  <w:style w:type="paragraph" w:styleId="736">
    <w:name w:val="Quote"/>
    <w:basedOn w:val="891"/>
    <w:next w:val="891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91"/>
    <w:next w:val="891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paragraph" w:styleId="740">
    <w:name w:val="Header"/>
    <w:basedOn w:val="891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Header Char"/>
    <w:link w:val="740"/>
    <w:uiPriority w:val="99"/>
  </w:style>
  <w:style w:type="paragraph" w:styleId="742">
    <w:name w:val="Footer"/>
    <w:basedOn w:val="891"/>
    <w:link w:val="7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Footer Char"/>
    <w:link w:val="742"/>
    <w:uiPriority w:val="99"/>
  </w:style>
  <w:style w:type="paragraph" w:styleId="744">
    <w:name w:val="Caption"/>
    <w:basedOn w:val="891"/>
    <w:next w:val="8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5">
    <w:name w:val="Caption Char"/>
    <w:basedOn w:val="744"/>
    <w:link w:val="742"/>
    <w:uiPriority w:val="99"/>
  </w:style>
  <w:style w:type="table" w:styleId="746">
    <w:name w:val="Table Grid"/>
    <w:basedOn w:val="8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8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basedOn w:val="8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6">
    <w:name w:val="List Table 7 Colorful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7">
    <w:name w:val="List Table 7 Colorful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8">
    <w:name w:val="List Table 7 Colorful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9">
    <w:name w:val="List Table 7 Colorful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0">
    <w:name w:val="List Table 7 Colorful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1">
    <w:name w:val="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 &amp; Lined - Accent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0">
    <w:name w:val="Bordered &amp; Lined - Accent 2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1">
    <w:name w:val="Bordered &amp; Lined - Accent 3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2">
    <w:name w:val="Bordered &amp; Lined - Accent 4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3">
    <w:name w:val="Bordered &amp; Lined - Accent 5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4">
    <w:name w:val="Bordered &amp; Lined - Accent 6"/>
    <w:basedOn w:val="8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5">
    <w:name w:val="Bordered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basedOn w:val="8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1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uiPriority w:val="99"/>
    <w:unhideWhenUsed/>
    <w:rPr>
      <w:vertAlign w:val="superscript"/>
    </w:rPr>
  </w:style>
  <w:style w:type="paragraph" w:styleId="876">
    <w:name w:val="endnote text"/>
    <w:basedOn w:val="891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uiPriority w:val="99"/>
    <w:semiHidden/>
    <w:unhideWhenUsed/>
    <w:rPr>
      <w:vertAlign w:val="superscript"/>
    </w:rPr>
  </w:style>
  <w:style w:type="paragraph" w:styleId="879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1"/>
    <w:next w:val="891"/>
    <w:uiPriority w:val="99"/>
    <w:unhideWhenUsed/>
    <w:pPr>
      <w:spacing w:after="0" w:afterAutospacing="0"/>
    </w:pPr>
  </w:style>
  <w:style w:type="table" w:styleId="89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91" w:default="1">
    <w:name w:val="Normal"/>
    <w:next w:val="891"/>
    <w:pPr>
      <w:spacing w:before="0" w:after="200" w:line="276" w:lineRule="auto"/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character" w:styleId="892">
    <w:name w:val="Основной шрифт абзаца"/>
    <w:next w:val="892"/>
    <w:link w:val="891"/>
  </w:style>
  <w:style w:type="character" w:styleId="893">
    <w:name w:val="Верхний колонтитул Знак"/>
    <w:next w:val="893"/>
    <w:link w:val="891"/>
    <w:rPr>
      <w:sz w:val="22"/>
      <w:szCs w:val="22"/>
    </w:rPr>
  </w:style>
  <w:style w:type="character" w:styleId="894">
    <w:name w:val="Нижний колонтитул Знак"/>
    <w:next w:val="894"/>
    <w:link w:val="891"/>
    <w:rPr>
      <w:sz w:val="22"/>
      <w:szCs w:val="22"/>
    </w:rPr>
  </w:style>
  <w:style w:type="character" w:styleId="895">
    <w:name w:val="Текст выноски Знак"/>
    <w:next w:val="895"/>
    <w:link w:val="891"/>
    <w:rPr>
      <w:rFonts w:ascii="Tahoma" w:hAnsi="Tahoma" w:cs="Tahoma"/>
      <w:sz w:val="16"/>
      <w:szCs w:val="16"/>
    </w:rPr>
  </w:style>
  <w:style w:type="character" w:styleId="896">
    <w:name w:val="Знак примечания"/>
    <w:next w:val="896"/>
    <w:link w:val="891"/>
    <w:rPr>
      <w:sz w:val="16"/>
      <w:szCs w:val="16"/>
    </w:rPr>
  </w:style>
  <w:style w:type="character" w:styleId="897">
    <w:name w:val="Текст примечания Знак"/>
    <w:next w:val="897"/>
    <w:link w:val="891"/>
  </w:style>
  <w:style w:type="character" w:styleId="898">
    <w:name w:val="Тема примечания Знак"/>
    <w:next w:val="898"/>
    <w:link w:val="891"/>
    <w:rPr>
      <w:b/>
      <w:bCs/>
    </w:rPr>
  </w:style>
  <w:style w:type="character" w:styleId="899">
    <w:name w:val="Интернет-ссылка"/>
    <w:next w:val="899"/>
    <w:link w:val="891"/>
    <w:rPr>
      <w:color w:val="0000ff"/>
      <w:u w:val="single"/>
    </w:rPr>
  </w:style>
  <w:style w:type="paragraph" w:styleId="900">
    <w:name w:val="Заголовок"/>
    <w:basedOn w:val="891"/>
    <w:next w:val="901"/>
    <w:link w:val="891"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901">
    <w:name w:val="Основной текст"/>
    <w:basedOn w:val="891"/>
    <w:next w:val="901"/>
    <w:link w:val="891"/>
    <w:pPr>
      <w:spacing w:before="0" w:after="140" w:line="276" w:lineRule="auto"/>
    </w:pPr>
  </w:style>
  <w:style w:type="paragraph" w:styleId="902">
    <w:name w:val="Список"/>
    <w:basedOn w:val="901"/>
    <w:next w:val="902"/>
    <w:link w:val="891"/>
    <w:rPr>
      <w:rFonts w:cs="Droid Sans Devanagari"/>
    </w:rPr>
  </w:style>
  <w:style w:type="paragraph" w:styleId="903">
    <w:name w:val="Название"/>
    <w:basedOn w:val="891"/>
    <w:next w:val="903"/>
    <w:link w:val="891"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04">
    <w:name w:val="Указатель"/>
    <w:basedOn w:val="891"/>
    <w:next w:val="904"/>
    <w:link w:val="891"/>
    <w:pPr>
      <w:suppressLineNumbers/>
    </w:pPr>
    <w:rPr>
      <w:rFonts w:cs="Droid Sans Devanagari"/>
    </w:rPr>
  </w:style>
  <w:style w:type="paragraph" w:styleId="905">
    <w:name w:val="Верхний и нижний колонтитулы"/>
    <w:basedOn w:val="891"/>
    <w:next w:val="905"/>
    <w:link w:val="891"/>
    <w:pPr>
      <w:tabs>
        <w:tab w:val="center" w:pos="4819" w:leader="none"/>
        <w:tab w:val="right" w:pos="9638" w:leader="none"/>
      </w:tabs>
      <w:suppressLineNumbers/>
    </w:pPr>
  </w:style>
  <w:style w:type="paragraph" w:styleId="906">
    <w:name w:val="Верхний колонтитул"/>
    <w:basedOn w:val="891"/>
    <w:next w:val="906"/>
    <w:link w:val="891"/>
    <w:pPr>
      <w:tabs>
        <w:tab w:val="center" w:pos="4677" w:leader="none"/>
        <w:tab w:val="right" w:pos="9355" w:leader="none"/>
      </w:tabs>
    </w:pPr>
  </w:style>
  <w:style w:type="paragraph" w:styleId="907">
    <w:name w:val="Нижний колонтитул"/>
    <w:basedOn w:val="891"/>
    <w:next w:val="907"/>
    <w:link w:val="891"/>
    <w:pPr>
      <w:tabs>
        <w:tab w:val="center" w:pos="4677" w:leader="none"/>
        <w:tab w:val="right" w:pos="9355" w:leader="none"/>
      </w:tabs>
    </w:pPr>
  </w:style>
  <w:style w:type="paragraph" w:styleId="908">
    <w:name w:val="Текст выноски"/>
    <w:basedOn w:val="891"/>
    <w:next w:val="908"/>
    <w:link w:val="89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909">
    <w:name w:val="ConsPlusNormal"/>
    <w:next w:val="909"/>
    <w:link w:val="891"/>
    <w:pPr>
      <w:widowControl w:val="off"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910">
    <w:name w:val="Текст примечания"/>
    <w:basedOn w:val="891"/>
    <w:next w:val="910"/>
    <w:link w:val="891"/>
    <w:rPr>
      <w:sz w:val="20"/>
      <w:szCs w:val="20"/>
    </w:rPr>
  </w:style>
  <w:style w:type="paragraph" w:styleId="911">
    <w:name w:val="Тема примечания"/>
    <w:basedOn w:val="910"/>
    <w:next w:val="910"/>
    <w:link w:val="891"/>
    <w:rPr>
      <w:b/>
      <w:bCs/>
    </w:rPr>
  </w:style>
  <w:style w:type="paragraph" w:styleId="912">
    <w:name w:val="Без интервала"/>
    <w:next w:val="912"/>
    <w:link w:val="891"/>
    <w:pPr>
      <w:widowControl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paragraph" w:styleId="913">
    <w:name w:val="Содержимое таблицы"/>
    <w:basedOn w:val="891"/>
    <w:next w:val="913"/>
    <w:link w:val="891"/>
    <w:pPr>
      <w:suppressLineNumbers/>
    </w:pPr>
  </w:style>
  <w:style w:type="paragraph" w:styleId="914">
    <w:name w:val="Заголовок таблицы"/>
    <w:basedOn w:val="913"/>
    <w:next w:val="914"/>
    <w:link w:val="891"/>
    <w:pPr>
      <w:jc w:val="center"/>
      <w:suppressLineNumbers/>
    </w:pPr>
    <w:rPr>
      <w:b/>
      <w:bCs/>
    </w:rPr>
  </w:style>
  <w:style w:type="character" w:styleId="915" w:default="1">
    <w:name w:val="Default Paragraph Font"/>
    <w:uiPriority w:val="1"/>
    <w:semiHidden/>
    <w:unhideWhenUsed/>
  </w:style>
  <w:style w:type="numbering" w:styleId="916" w:default="1">
    <w:name w:val="No List"/>
    <w:uiPriority w:val="99"/>
    <w:semiHidden/>
    <w:unhideWhenUsed/>
  </w:style>
  <w:style w:type="paragraph" w:styleId="1_11035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cs="Courier New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27047" w:customStyle="1">
    <w:name w:val="Выделение жирным"/>
    <w:next w:val="868"/>
    <w:link w:val="857"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27.05.2023 N 829"Об утверждении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</dc:title>
  <dc:creator>Марина</dc:creator>
  <cp:revision>31</cp:revision>
  <dcterms:created xsi:type="dcterms:W3CDTF">2023-07-14T08:26:00Z</dcterms:created>
  <dcterms:modified xsi:type="dcterms:W3CDTF">2023-12-20T11:05:36Z</dcterms:modified>
</cp:coreProperties>
</file>