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7"/>
        <w:gridCol w:w="2027"/>
        <w:gridCol w:w="2027"/>
        <w:gridCol w:w="1767"/>
        <w:gridCol w:w="261"/>
        <w:gridCol w:w="263"/>
        <w:gridCol w:w="1765"/>
      </w:tblGrid>
      <w:tr w:rsidR="0054459D" w:rsidRPr="00E82574" w:rsidTr="009B0E99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9B0E99"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9B0E99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9B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9B0E99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9B0E99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9B0E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3835AF">
        <w:rPr>
          <w:rFonts w:ascii="Times New Roman" w:eastAsia="Times New Roman" w:hAnsi="Times New Roman"/>
          <w:b/>
          <w:sz w:val="28"/>
          <w:szCs w:val="28"/>
          <w:lang w:eastAsia="ru-RU"/>
        </w:rPr>
        <w:t>Родильный дом № 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  <w:proofErr w:type="gramEnd"/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>Родильный дом №</w:t>
      </w:r>
      <w:r w:rsidR="00471C68">
        <w:t> </w:t>
      </w:r>
      <w:r w:rsidR="003835AF" w:rsidRPr="003835A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» (далее –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ГБУЗ НСО «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РД № 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3835AF" w:rsidRPr="003835AF">
        <w:rPr>
          <w:rFonts w:ascii="Times New Roman" w:eastAsia="Times New Roman" w:hAnsi="Times New Roman"/>
          <w:sz w:val="28"/>
          <w:szCs w:val="28"/>
          <w:lang w:eastAsia="ru-RU"/>
        </w:rPr>
        <w:t>РД № 7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Грефу В.В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5A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30.04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.2022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На период закрытия акушерского стационара: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 xml:space="preserve">25, 31-33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Маршрутн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маршрутизации пациенток Новосибирской области акушерско-гинекологического профиля, утвержденной приказом министерства здравоохранения Новоси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бирской области от 09.02.2021 №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245 «О маршрутизации пациенток акушерско-гинекологического профиля на территории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 xml:space="preserve">маршрутизация, утвержденная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245) изложить в редакции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1 к настоящему приказу;</w:t>
      </w:r>
      <w:proofErr w:type="gramEnd"/>
    </w:p>
    <w:p w:rsidR="003835AF" w:rsidRDefault="00E45AA6" w:rsidP="003835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76DD9">
        <w:rPr>
          <w:rFonts w:ascii="Times New Roman" w:eastAsia="Times New Roman" w:hAnsi="Times New Roman"/>
          <w:sz w:val="28"/>
          <w:szCs w:val="28"/>
          <w:lang w:eastAsia="ru-RU"/>
        </w:rPr>
        <w:t>11-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Маршрутн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лист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пациенток акушерско-гинекологического (акушерского) профиля города Новосибирска»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C68" w:rsidRPr="00471C68">
        <w:rPr>
          <w:rFonts w:ascii="Times New Roman" w:eastAsia="Times New Roman" w:hAnsi="Times New Roman"/>
          <w:sz w:val="28"/>
          <w:szCs w:val="28"/>
          <w:lang w:eastAsia="ru-RU"/>
        </w:rPr>
        <w:t>маршрутизаци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71C68" w:rsidRPr="00471C68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471C68" w:rsidRPr="00471C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№ 245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редакции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 xml:space="preserve">иложению </w:t>
      </w:r>
      <w:r w:rsidR="00471C6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2 к настоящему приказу.</w:t>
      </w:r>
    </w:p>
    <w:p w:rsidR="0054459D" w:rsidRPr="003835AF" w:rsidRDefault="00E45AA6" w:rsidP="003835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 бюджетного учреждения здравоохранения Новосибирской области «Станция скорой медицинской помощи»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71C68" w:rsidRPr="0044676D">
        <w:rPr>
          <w:rFonts w:ascii="Times New Roman" w:eastAsia="Times New Roman" w:hAnsi="Times New Roman"/>
          <w:sz w:val="28"/>
          <w:szCs w:val="28"/>
          <w:lang w:eastAsia="ru-RU"/>
        </w:rPr>
        <w:t>гла</w:t>
      </w:r>
      <w:r w:rsidR="00471C68" w:rsidRPr="00471C68">
        <w:rPr>
          <w:rFonts w:ascii="Times New Roman" w:eastAsia="Times New Roman" w:hAnsi="Times New Roman"/>
          <w:sz w:val="28"/>
          <w:szCs w:val="28"/>
          <w:lang w:eastAsia="ru-RU"/>
        </w:rPr>
        <w:t>вному врачу государственного бюджетного учреждения здравоохранения Новосибирской области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471C6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«Новосибирская к</w:t>
      </w:r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линическая районная больница № 1»</w:t>
      </w:r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Моногарову</w:t>
      </w:r>
      <w:proofErr w:type="spellEnd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С.Н.</w:t>
      </w:r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850A35" w:rsidRP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</w:t>
      </w:r>
      <w:r w:rsidR="00850A35" w:rsidRP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lastRenderedPageBreak/>
        <w:t xml:space="preserve">области </w:t>
      </w:r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«Маслянинская центральная районная больница»</w:t>
      </w:r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Подорвановой</w:t>
      </w:r>
      <w:proofErr w:type="spellEnd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А.А.</w:t>
      </w:r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850A35" w:rsidRP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</w:t>
      </w:r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«Сузунская центральная районная больница»</w:t>
      </w:r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proofErr w:type="spellStart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Утенкову</w:t>
      </w:r>
      <w:proofErr w:type="spellEnd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 В.Н.</w:t>
      </w:r>
      <w:proofErr w:type="gramEnd"/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 w:rsidR="00850A35" w:rsidRP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главному врачу государственного бюджетного учреждения здравоохранения Новосибирской области </w:t>
      </w:r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«Черепановская </w:t>
      </w:r>
      <w:proofErr w:type="gramStart"/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центральная</w:t>
      </w:r>
      <w:proofErr w:type="gramEnd"/>
      <w:r w:rsidR="00850A3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районная больница» </w:t>
      </w:r>
      <w:proofErr w:type="spellStart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Талалаевой</w:t>
      </w:r>
      <w:proofErr w:type="spellEnd"/>
      <w:r w:rsidR="0044676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Н.В.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4. 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</w:t>
      </w:r>
      <w:r w:rsidR="00850A35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</w:t>
      </w:r>
      <w:r w:rsidR="00850A3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F16" w:rsidRPr="007C1F1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50A35">
        <w:rPr>
          <w:rFonts w:ascii="Times New Roman" w:eastAsia="Times New Roman" w:hAnsi="Times New Roman"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» Позднякову И.М.,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F1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главному врачу </w:t>
      </w:r>
      <w:r w:rsidR="007C1F16" w:rsidRPr="007C1F1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здравоохранения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265E4">
        <w:rPr>
          <w:rFonts w:ascii="Times New Roman" w:eastAsia="Times New Roman" w:hAnsi="Times New Roman"/>
          <w:sz w:val="28"/>
          <w:szCs w:val="28"/>
          <w:lang w:eastAsia="ru-RU"/>
        </w:rPr>
        <w:t>Клинический родильный дом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6»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Геворкян И.А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BA373A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5. </w:t>
      </w:r>
      <w:proofErr w:type="gramStart"/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</w:t>
      </w:r>
      <w:r w:rsidR="003835AF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министра здравоохранения Новосибирской области Анохину Т.Ю.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35AF" w:rsidRDefault="003835A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0265E4">
        <w:rPr>
          <w:rFonts w:ascii="Times New Roman" w:eastAsia="Times New Roman" w:hAnsi="Times New Roman"/>
          <w:sz w:val="20"/>
          <w:szCs w:val="20"/>
          <w:lang w:eastAsia="ru-RU"/>
        </w:rPr>
        <w:t>В.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Новикова</w:t>
      </w:r>
    </w:p>
    <w:p w:rsidR="0054459D" w:rsidRDefault="000265E4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8 383 238 62 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54459D" w:rsidRPr="00BA373A" w:rsidSect="000C4E52">
          <w:headerReference w:type="defaul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:rsidTr="00E45AA6"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265E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E45AA6">
              <w:rPr>
                <w:rFonts w:ascii="Times New Roman" w:hAnsi="Times New Roman"/>
                <w:sz w:val="28"/>
                <w:szCs w:val="28"/>
              </w:rPr>
              <w:t>министерства здравоохранения Новосибирской области</w:t>
            </w:r>
          </w:p>
          <w:p w:rsidR="00E45AA6" w:rsidRDefault="00E45AA6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54459D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E3211D" w:rsidRDefault="00E3211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115" w:rsidRDefault="00164115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Default="00E45AA6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E45AA6" w:rsidRDefault="00E3211D" w:rsidP="00E3211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AA6">
        <w:rPr>
          <w:rFonts w:ascii="Times New Roman" w:eastAsia="Times New Roman" w:hAnsi="Times New Roman"/>
          <w:b/>
          <w:sz w:val="28"/>
          <w:szCs w:val="28"/>
          <w:lang w:eastAsia="ru-RU"/>
        </w:rPr>
        <w:t>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</w:t>
      </w:r>
    </w:p>
    <w:p w:rsidR="0054459D" w:rsidRDefault="0054459D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4115" w:rsidRPr="003906DD" w:rsidRDefault="00164115" w:rsidP="0054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38"/>
        <w:gridCol w:w="2195"/>
        <w:gridCol w:w="2163"/>
        <w:gridCol w:w="2828"/>
        <w:gridCol w:w="3204"/>
      </w:tblGrid>
      <w:tr w:rsidR="00D76DD9" w:rsidRPr="001C4ACE" w:rsidTr="006D5323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:Б</w:t>
            </w:r>
            <w:proofErr w:type="gram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арышевская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Березовская,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Новолуговская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Кольцово)</w:t>
            </w:r>
            <w:proofErr w:type="gram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D76DD9" w:rsidRPr="001C4ACE" w:rsidRDefault="00D76DD9" w:rsidP="00D76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D76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D76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D76DD9" w:rsidRPr="001C4ACE" w:rsidTr="00ED0658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Маслянинский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«Маслянинская ЦРБ»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34 нед.0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DD9" w:rsidRPr="001C4ACE" w:rsidTr="00ED0658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Сузунский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«Сузунская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6DD9" w:rsidRPr="001C4ACE" w:rsidTr="00ED0658">
        <w:trPr>
          <w:trHeight w:val="1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Черепановский район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«Черепановская ЦРБ»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C4E52" w:rsidRDefault="000C4E52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C4E52" w:rsidRDefault="000C4E52" w:rsidP="000C4E5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</w:p>
    <w:p w:rsidR="003835AF" w:rsidRDefault="003835AF" w:rsidP="009B0E9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  <w:sectPr w:rsidR="003835AF" w:rsidSect="000C4E52">
          <w:pgSz w:w="16838" w:h="11906" w:orient="landscape" w:code="9"/>
          <w:pgMar w:top="1418" w:right="1134" w:bottom="567" w:left="1134" w:header="709" w:footer="709" w:gutter="0"/>
          <w:pgNumType w:start="1"/>
          <w:cols w:space="708"/>
          <w:docGrid w:linePitch="360"/>
        </w:sectPr>
      </w:pPr>
    </w:p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:rsidTr="00E45AA6">
        <w:tc>
          <w:tcPr>
            <w:tcW w:w="485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:rsidR="0054459D" w:rsidRDefault="0054459D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835AF" w:rsidRPr="00897F1F" w:rsidRDefault="003835AF" w:rsidP="009B0E9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E0317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897F1F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E45AA6" w:rsidRDefault="0054459D" w:rsidP="00E45AA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E45AA6">
              <w:rPr>
                <w:rFonts w:ascii="Times New Roman" w:hAnsi="Times New Roman"/>
                <w:sz w:val="28"/>
                <w:szCs w:val="28"/>
              </w:rPr>
              <w:t>министерства здравоохранения</w:t>
            </w:r>
          </w:p>
          <w:p w:rsidR="0054459D" w:rsidRPr="00897F1F" w:rsidRDefault="00E45AA6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45AA6" w:rsidRDefault="00E45AA6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4459D" w:rsidRPr="00897F1F" w:rsidRDefault="0054459D" w:rsidP="009B0E9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7F1F">
              <w:rPr>
                <w:rFonts w:ascii="Times New Roman" w:hAnsi="Times New Roman"/>
                <w:sz w:val="28"/>
                <w:szCs w:val="28"/>
              </w:rPr>
              <w:t>от____________№__________</w:t>
            </w:r>
          </w:p>
        </w:tc>
      </w:tr>
    </w:tbl>
    <w:p w:rsidR="00E3211D" w:rsidRDefault="00E3211D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Default="00E45AA6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1CF" w:rsidRDefault="00B651CF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E45AA6" w:rsidRDefault="00E3211D" w:rsidP="00E3211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AA6">
        <w:rPr>
          <w:rFonts w:ascii="Times New Roman" w:eastAsia="Times New Roman" w:hAnsi="Times New Roman"/>
          <w:b/>
          <w:sz w:val="28"/>
          <w:szCs w:val="28"/>
          <w:lang w:eastAsia="ru-RU"/>
        </w:rPr>
        <w:t>«Маршрутный лист пациенток акушерско-гинекологического (акушерского) профиля города Новосибирска»</w:t>
      </w:r>
    </w:p>
    <w:p w:rsidR="00E3211D" w:rsidRDefault="00E3211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651CF" w:rsidRDefault="00B651CF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386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2551"/>
        <w:gridCol w:w="3402"/>
        <w:gridCol w:w="2665"/>
        <w:gridCol w:w="2815"/>
      </w:tblGrid>
      <w:tr w:rsidR="00D76DD9" w:rsidRPr="001C4ACE" w:rsidTr="006D532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пн., ср., пт. –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вт., чт., сб., вс. -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D76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D76DD9" w:rsidRPr="001C4ACE" w:rsidRDefault="000265E4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 </w:t>
            </w:r>
            <w:r w:rsidR="00D76DD9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33 нед.6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D76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  <w:tr w:rsidR="00D76DD9" w:rsidRPr="001C4ACE" w:rsidTr="006D5323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Советский</w:t>
            </w:r>
          </w:p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(правый берег)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«ЦКБ»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0265E4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 </w:t>
            </w:r>
            <w:r w:rsidR="00D76DD9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Pr="00D76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36 нед.7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76DD9" w:rsidRPr="001C4ACE" w:rsidTr="00D76DD9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Первомайский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D76DD9" w:rsidRPr="00D76DD9" w:rsidRDefault="00D76DD9" w:rsidP="00D76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 №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НСО </w:t>
            </w:r>
          </w:p>
          <w:p w:rsidR="00D76DD9" w:rsidRPr="00D76DD9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2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КРД № </w:t>
            </w:r>
            <w:r w:rsidRPr="00D76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0265E4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 </w:t>
            </w:r>
            <w:r w:rsidR="00D76DD9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1»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</w:t>
            </w:r>
          </w:p>
          <w:p w:rsidR="00D76DD9" w:rsidRPr="00D76DD9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«НГКПЦ»: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22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0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до 33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76DD9" w:rsidRPr="001C4ACE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НГКПЦ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»:</w:t>
            </w:r>
          </w:p>
          <w:p w:rsidR="00D76DD9" w:rsidRPr="00D76DD9" w:rsidRDefault="00D76DD9" w:rsidP="006D5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34 </w:t>
            </w:r>
            <w:proofErr w:type="spellStart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более</w:t>
            </w:r>
          </w:p>
        </w:tc>
      </w:tr>
    </w:tbl>
    <w:p w:rsidR="0054459D" w:rsidRDefault="0054459D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D274B" w:rsidRDefault="006D274B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74B" w:rsidRPr="00D66E62" w:rsidRDefault="000C4E52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sectPr w:rsidR="006D274B" w:rsidRPr="00D66E62" w:rsidSect="000C4E52">
      <w:pgSz w:w="16838" w:h="11906" w:orient="landscape" w:code="9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E9" w:rsidRDefault="00D731E9" w:rsidP="000C4E52">
      <w:pPr>
        <w:spacing w:after="0" w:line="240" w:lineRule="auto"/>
      </w:pPr>
      <w:r>
        <w:separator/>
      </w:r>
    </w:p>
  </w:endnote>
  <w:endnote w:type="continuationSeparator" w:id="0">
    <w:p w:rsidR="00D731E9" w:rsidRDefault="00D731E9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E9" w:rsidRDefault="00D731E9" w:rsidP="000C4E52">
      <w:pPr>
        <w:spacing w:after="0" w:line="240" w:lineRule="auto"/>
      </w:pPr>
      <w:r>
        <w:separator/>
      </w:r>
    </w:p>
  </w:footnote>
  <w:footnote w:type="continuationSeparator" w:id="0">
    <w:p w:rsidR="00D731E9" w:rsidRDefault="00D731E9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483"/>
      <w:docPartObj>
        <w:docPartGallery w:val="Page Numbers (Top of Page)"/>
        <w:docPartUnique/>
      </w:docPartObj>
    </w:sdtPr>
    <w:sdtEndPr/>
    <w:sdtContent>
      <w:p w:rsidR="000C4E52" w:rsidRDefault="000C4E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16">
          <w:rPr>
            <w:noProof/>
          </w:rPr>
          <w:t>2</w:t>
        </w:r>
        <w:r>
          <w:fldChar w:fldCharType="end"/>
        </w:r>
      </w:p>
    </w:sdtContent>
  </w:sdt>
  <w:p w:rsidR="000C4E52" w:rsidRDefault="000C4E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21606"/>
    <w:rsid w:val="00024EC4"/>
    <w:rsid w:val="000265E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40AF4"/>
    <w:rsid w:val="0034642A"/>
    <w:rsid w:val="003832D9"/>
    <w:rsid w:val="003835AF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D2B"/>
    <w:rsid w:val="00422541"/>
    <w:rsid w:val="00422745"/>
    <w:rsid w:val="00422FE4"/>
    <w:rsid w:val="004365B0"/>
    <w:rsid w:val="00441C45"/>
    <w:rsid w:val="0044676D"/>
    <w:rsid w:val="0045322D"/>
    <w:rsid w:val="00462A5C"/>
    <w:rsid w:val="00463C58"/>
    <w:rsid w:val="00471C6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1F16"/>
    <w:rsid w:val="007C478E"/>
    <w:rsid w:val="007D2C8B"/>
    <w:rsid w:val="007D3CEA"/>
    <w:rsid w:val="008037C3"/>
    <w:rsid w:val="00813B1D"/>
    <w:rsid w:val="00826A97"/>
    <w:rsid w:val="00831E20"/>
    <w:rsid w:val="00842F86"/>
    <w:rsid w:val="00843AB1"/>
    <w:rsid w:val="00850A35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6143"/>
    <w:rsid w:val="00A634BB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7652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0317"/>
    <w:rsid w:val="00BE2D69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47B"/>
    <w:rsid w:val="00CA77BF"/>
    <w:rsid w:val="00CD0D43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31E9"/>
    <w:rsid w:val="00D752E6"/>
    <w:rsid w:val="00D76DD9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C39F-A9AE-4743-867E-A88B690D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6</cp:revision>
  <cp:lastPrinted>2021-06-11T10:10:00Z</cp:lastPrinted>
  <dcterms:created xsi:type="dcterms:W3CDTF">2022-01-20T04:10:00Z</dcterms:created>
  <dcterms:modified xsi:type="dcterms:W3CDTF">2022-04-25T10:41:00Z</dcterms:modified>
</cp:coreProperties>
</file>