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2"/>
        <w:gridCol w:w="322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12" w:type="dxa"/>
            <w:vAlign w:val="top"/>
            <w:textDirection w:val="lrTb"/>
            <w:noWrap w:val="false"/>
          </w:tcPr>
          <w:p>
            <w:pPr>
              <w:pStyle w:val="842"/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5" w:type="dxa"/>
            <w:vAlign w:val="top"/>
            <w:textDirection w:val="lrTb"/>
            <w:noWrap w:val="false"/>
          </w:tcPr>
          <w:p>
            <w:pPr>
              <w:pStyle w:val="842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Проект постановления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842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Губернатора Новосибирской области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</w:tbl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ind w:firstLine="540"/>
        <w:jc w:val="center"/>
        <w:tabs>
          <w:tab w:val="center" w:pos="709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устан</w:t>
      </w:r>
      <w:r>
        <w:rPr>
          <w:rFonts w:ascii="Times New Roman" w:hAnsi="Times New Roman" w:cs="Times New Roman"/>
          <w:sz w:val="28"/>
          <w:szCs w:val="28"/>
        </w:rPr>
        <w:t xml:space="preserve">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2025 год </w:t>
      </w:r>
      <w:r>
        <w:rPr>
          <w:rFonts w:ascii="Times New Roman" w:hAnsi="Times New Roman" w:cs="Times New Roman"/>
          <w:sz w:val="28"/>
          <w:szCs w:val="28"/>
        </w:rPr>
        <w:t xml:space="preserve">запрет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на привлечение хозяйствующими субъектами, осуществляющими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иностранных граждан, осуществляющих трудовую деятельность на основании патентов, по отдельным видам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18.1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.07.</w:t>
      </w:r>
      <w:r>
        <w:rPr>
          <w:rFonts w:ascii="Times New Roman" w:hAnsi="Times New Roman" w:cs="Times New Roman"/>
          <w:sz w:val="28"/>
          <w:szCs w:val="28"/>
        </w:rPr>
        <w:t xml:space="preserve"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115-ФЗ «О правовом положении иностранных граждан в Российской Федерации»,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.12.</w:t>
      </w:r>
      <w:r>
        <w:rPr>
          <w:rFonts w:ascii="Times New Roman" w:hAnsi="Times New Roman" w:cs="Times New Roman"/>
          <w:sz w:val="28"/>
          <w:szCs w:val="28"/>
        </w:rPr>
        <w:t xml:space="preserve"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1327 «Об утверждении Правил определения срока приведения </w:t>
      </w:r>
      <w:r>
        <w:rPr>
          <w:rFonts w:ascii="Times New Roman" w:hAnsi="Times New Roman" w:cs="Times New Roman"/>
          <w:sz w:val="28"/>
          <w:szCs w:val="28"/>
        </w:rPr>
        <w:t xml:space="preserve">хозяйствующи</w:t>
      </w:r>
      <w:r>
        <w:rPr>
          <w:rFonts w:ascii="Times New Roman" w:hAnsi="Times New Roman" w:cs="Times New Roman"/>
          <w:sz w:val="28"/>
          <w:szCs w:val="28"/>
        </w:rPr>
        <w:t xml:space="preserve">ми субъектами, осуществляющими деятельность на территории субъекта Российской Федерации, численности используемых ими иностранных работников в соответствие с запретом на привлечение такими хозяйствующими субъектами иностранных граждан, осуществляющих трудо</w:t>
      </w:r>
      <w:r>
        <w:rPr>
          <w:rFonts w:ascii="Times New Roman" w:hAnsi="Times New Roman" w:cs="Times New Roman"/>
          <w:sz w:val="28"/>
          <w:szCs w:val="28"/>
        </w:rPr>
        <w:t xml:space="preserve">вую деятельность на основании патентов, по отдельным видам экономической деятельности, установленным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жизни и здоровья населения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приоритетного трудоустройства российских 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tabs>
          <w:tab w:val="left" w:pos="993" w:leader="none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 Установить</w:t>
      </w:r>
      <w:r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год запрет на привлечение хозяйствующими субъектами, осуществляющими деятельность на территории Новосибирской области, иностранных граждан, осуществляющих трудовую деятельность на основании патентов, по следующим видам экономической деятельности, </w:t>
      </w:r>
      <w:r>
        <w:rPr>
          <w:rFonts w:ascii="Times New Roman" w:hAnsi="Times New Roman"/>
          <w:sz w:val="28"/>
          <w:szCs w:val="28"/>
          <w:lang w:eastAsia="ar-SA"/>
        </w:rPr>
        <w:t xml:space="preserve">предусмотренным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Общероссийским </w:t>
      </w:r>
      <w:r>
        <w:rPr>
          <w:rFonts w:ascii="Times New Roman" w:hAnsi="Times New Roman"/>
          <w:sz w:val="28"/>
          <w:szCs w:val="28"/>
          <w:lang w:eastAsia="ar-SA"/>
        </w:rPr>
        <w:fldChar w:fldCharType="begin"/>
      </w:r>
      <w:r>
        <w:rPr>
          <w:rFonts w:ascii="Times New Roman" w:hAnsi="Times New Roman"/>
          <w:sz w:val="28"/>
          <w:szCs w:val="28"/>
          <w:lang w:eastAsia="ar-SA"/>
        </w:rPr>
        <w:instrText xml:space="preserve"> HYPERLINK "consultantplus://offline/ref=3C156EC6293C41792BBAEE77195009EAE73F7B25023B11A1ADC0005F31080BAF2B2DF54CB64CF0AFeAmED" </w:instrText>
      </w:r>
      <w:r>
        <w:rPr>
          <w:rFonts w:ascii="Times New Roman" w:hAnsi="Times New Roman"/>
          <w:sz w:val="28"/>
          <w:szCs w:val="28"/>
          <w:lang w:eastAsia="ar-SA"/>
        </w:rPr>
        <w:fldChar w:fldCharType="separate"/>
      </w:r>
      <w:r>
        <w:rPr>
          <w:rFonts w:ascii="Times New Roman" w:hAnsi="Times New Roman"/>
          <w:sz w:val="28"/>
          <w:szCs w:val="28"/>
          <w:lang w:eastAsia="ar-SA"/>
        </w:rPr>
        <w:t xml:space="preserve">классификатором</w:t>
      </w:r>
      <w:r>
        <w:rPr>
          <w:rFonts w:ascii="Times New Roman" w:hAnsi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/>
          <w:sz w:val="28"/>
          <w:szCs w:val="28"/>
          <w:lang w:eastAsia="ar-SA"/>
        </w:rPr>
        <w:t xml:space="preserve"> видов экономической деятельности ОК 029-2014 (КДЕС РЕД. 2):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84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орговля розничная напитками в специализированных магазинах </w:t>
      </w:r>
      <w:r>
        <w:rPr>
          <w:rFonts w:ascii="Times New Roman" w:hAnsi="Times New Roman"/>
          <w:sz w:val="28"/>
          <w:szCs w:val="28"/>
        </w:rPr>
        <w:t xml:space="preserve">(код 47</w:t>
      </w:r>
      <w:r>
        <w:rPr>
          <w:rFonts w:ascii="Times New Roman" w:hAnsi="Times New Roman"/>
          <w:sz w:val="28"/>
          <w:szCs w:val="28"/>
        </w:rPr>
        <w:t xml:space="preserve">.2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9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орговля розничная табачными изделиями в специализированных магазинах</w:t>
      </w:r>
      <w:r>
        <w:rPr>
          <w:rFonts w:ascii="Times New Roman" w:hAnsi="Times New Roman"/>
          <w:sz w:val="28"/>
          <w:szCs w:val="28"/>
        </w:rPr>
        <w:t xml:space="preserve"> (код 47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9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3) 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еятельность легкового такси и арендованных легковых автомобилей с водителем</w:t>
      </w:r>
      <w:r>
        <w:rPr>
          <w:rFonts w:ascii="Times New Roman" w:hAnsi="Times New Roman"/>
          <w:sz w:val="28"/>
          <w:szCs w:val="28"/>
        </w:rPr>
        <w:t xml:space="preserve"> (код </w:t>
      </w:r>
      <w:r>
        <w:rPr>
          <w:rFonts w:ascii="Times New Roman" w:hAnsi="Times New Roman"/>
          <w:sz w:val="28"/>
          <w:szCs w:val="28"/>
        </w:rPr>
        <w:t xml:space="preserve">49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 образование дошкольное (код 85.11).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tabs>
          <w:tab w:val="left" w:pos="993" w:leader="none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 Хозяйствующим субъектам, осуществляющим экономическую деятельность по видам, указанным в </w:t>
      </w:r>
      <w:r>
        <w:rPr>
          <w:rFonts w:ascii="Times New Roman" w:hAnsi="Times New Roman"/>
          <w:sz w:val="28"/>
          <w:szCs w:val="28"/>
          <w:lang w:eastAsia="ar-SA"/>
        </w:rPr>
        <w:fldChar w:fldCharType="begin"/>
      </w:r>
      <w:r>
        <w:rPr>
          <w:rFonts w:ascii="Times New Roman" w:hAnsi="Times New Roman"/>
          <w:sz w:val="28"/>
          <w:szCs w:val="28"/>
          <w:lang w:eastAsia="ar-SA"/>
        </w:rPr>
        <w:instrText xml:space="preserve"> HYPERLINK \l "P13" </w:instrText>
      </w:r>
      <w:r>
        <w:rPr>
          <w:rFonts w:ascii="Times New Roman" w:hAnsi="Times New Roman"/>
          <w:sz w:val="28"/>
          <w:szCs w:val="28"/>
          <w:lang w:eastAsia="ar-SA"/>
        </w:rPr>
        <w:fldChar w:fldCharType="separate"/>
      </w:r>
      <w:r>
        <w:rPr>
          <w:rFonts w:ascii="Times New Roman" w:hAnsi="Times New Roman"/>
          <w:sz w:val="28"/>
          <w:szCs w:val="28"/>
          <w:lang w:eastAsia="ar-SA"/>
        </w:rPr>
        <w:t xml:space="preserve">пункте 1</w:t>
      </w:r>
      <w:r>
        <w:rPr>
          <w:rFonts w:ascii="Times New Roman" w:hAnsi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/>
          <w:sz w:val="28"/>
          <w:szCs w:val="28"/>
          <w:lang w:eastAsia="ar-SA"/>
        </w:rPr>
        <w:t xml:space="preserve"> настоящего постановл</w:t>
      </w:r>
      <w:r>
        <w:rPr>
          <w:rFonts w:ascii="Times New Roman" w:hAnsi="Times New Roman"/>
          <w:sz w:val="28"/>
          <w:szCs w:val="28"/>
          <w:lang w:eastAsia="ar-SA"/>
        </w:rPr>
        <w:t xml:space="preserve">ения, в течение двух месяцев со дня вступления в силу настоящего постановления, руководствуясь требованиями трудового законодательства Российской Федерации, привести численность используемых иностранных работников в соответствие с настоящим постановлением.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842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</w:t>
      </w:r>
      <w:r>
        <w:rPr>
          <w:rFonts w:ascii="Times New Roman" w:hAnsi="Times New Roman"/>
          <w:sz w:val="28"/>
          <w:szCs w:val="28"/>
        </w:rPr>
        <w:t xml:space="preserve">Нелюбова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2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2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2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pPr>
      <w:ind w:firstLine="709"/>
      <w:jc w:val="both"/>
    </w:pPr>
    <w:rPr>
      <w:sz w:val="22"/>
      <w:szCs w:val="22"/>
      <w:lang w:val="ru-RU" w:eastAsia="en-US" w:bidi="ar-SA"/>
    </w:rPr>
  </w:style>
  <w:style w:type="paragraph" w:styleId="843">
    <w:name w:val="Заголовок 2"/>
    <w:basedOn w:val="842"/>
    <w:next w:val="843"/>
    <w:link w:val="860"/>
    <w:uiPriority w:val="9"/>
    <w:qFormat/>
    <w:pPr>
      <w:ind w:firstLine="0"/>
      <w:jc w:val="left"/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44">
    <w:name w:val="Основной шрифт абзаца"/>
    <w:next w:val="844"/>
    <w:link w:val="842"/>
    <w:uiPriority w:val="1"/>
    <w:unhideWhenUsed/>
  </w:style>
  <w:style w:type="table" w:styleId="845">
    <w:name w:val="Обычная таблица"/>
    <w:next w:val="845"/>
    <w:link w:val="842"/>
    <w:uiPriority w:val="99"/>
    <w:semiHidden/>
    <w:unhideWhenUsed/>
    <w:tblPr/>
  </w:style>
  <w:style w:type="numbering" w:styleId="846">
    <w:name w:val="Нет списка"/>
    <w:next w:val="846"/>
    <w:link w:val="842"/>
    <w:uiPriority w:val="99"/>
    <w:semiHidden/>
    <w:unhideWhenUsed/>
  </w:style>
  <w:style w:type="paragraph" w:styleId="847">
    <w:name w:val="Основной текст"/>
    <w:basedOn w:val="842"/>
    <w:next w:val="847"/>
    <w:link w:val="848"/>
    <w:pPr>
      <w:ind w:firstLine="0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48">
    <w:name w:val="Основной текст Знак"/>
    <w:next w:val="848"/>
    <w:link w:val="84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9">
    <w:name w:val="Абзац списка"/>
    <w:basedOn w:val="842"/>
    <w:next w:val="849"/>
    <w:link w:val="842"/>
    <w:uiPriority w:val="34"/>
    <w:qFormat/>
    <w:pPr>
      <w:contextualSpacing/>
      <w:ind w:left="720"/>
    </w:pPr>
  </w:style>
  <w:style w:type="paragraph" w:styleId="850">
    <w:name w:val="Основной текст с отступом"/>
    <w:basedOn w:val="842"/>
    <w:next w:val="850"/>
    <w:link w:val="851"/>
    <w:unhideWhenUsed/>
    <w:pPr>
      <w:ind w:left="283"/>
      <w:spacing w:after="120"/>
    </w:pPr>
  </w:style>
  <w:style w:type="character" w:styleId="851">
    <w:name w:val="Основной текст с отступом Знак"/>
    <w:next w:val="851"/>
    <w:link w:val="850"/>
    <w:rPr>
      <w:sz w:val="22"/>
      <w:szCs w:val="22"/>
      <w:lang w:eastAsia="en-US"/>
    </w:rPr>
  </w:style>
  <w:style w:type="paragraph" w:styleId="852">
    <w:name w:val="Текст выноски"/>
    <w:basedOn w:val="842"/>
    <w:next w:val="852"/>
    <w:link w:val="853"/>
    <w:uiPriority w:val="99"/>
    <w:semiHidden/>
    <w:unhideWhenUsed/>
    <w:pPr>
      <w:ind w:firstLine="0"/>
      <w:jc w:val="left"/>
    </w:pPr>
    <w:rPr>
      <w:rFonts w:ascii="Tahoma" w:hAnsi="Tahoma" w:eastAsia="Times New Roman"/>
      <w:sz w:val="16"/>
      <w:szCs w:val="16"/>
      <w:lang w:eastAsia="ru-RU"/>
    </w:rPr>
  </w:style>
  <w:style w:type="character" w:styleId="853">
    <w:name w:val="Текст выноски Знак"/>
    <w:next w:val="853"/>
    <w:link w:val="852"/>
    <w:uiPriority w:val="99"/>
    <w:semiHidden/>
    <w:rPr>
      <w:rFonts w:ascii="Tahoma" w:hAnsi="Tahoma" w:eastAsia="Times New Roman"/>
      <w:sz w:val="16"/>
      <w:szCs w:val="16"/>
    </w:rPr>
  </w:style>
  <w:style w:type="paragraph" w:styleId="854">
    <w:name w:val="consplusnonformat"/>
    <w:basedOn w:val="842"/>
    <w:next w:val="854"/>
    <w:link w:val="842"/>
    <w:pPr>
      <w:ind w:firstLine="0"/>
      <w:jc w:val="left"/>
    </w:pPr>
    <w:rPr>
      <w:rFonts w:ascii="Courier New" w:hAnsi="Courier New" w:eastAsia="Arial Unicode MS" w:cs="Courier New"/>
      <w:sz w:val="20"/>
      <w:szCs w:val="20"/>
      <w:lang w:eastAsia="ru-RU"/>
    </w:rPr>
  </w:style>
  <w:style w:type="paragraph" w:styleId="855">
    <w:name w:val="ConsPlusNormal"/>
    <w:next w:val="855"/>
    <w:link w:val="842"/>
    <w:rPr>
      <w:rFonts w:ascii="Arial" w:hAnsi="Arial" w:eastAsia="Times New Roman" w:cs="Arial"/>
      <w:lang w:val="ru-RU" w:eastAsia="ru-RU" w:bidi="ar-SA"/>
    </w:rPr>
  </w:style>
  <w:style w:type="character" w:styleId="856">
    <w:name w:val="Строгий"/>
    <w:next w:val="856"/>
    <w:link w:val="842"/>
    <w:uiPriority w:val="22"/>
    <w:qFormat/>
    <w:rPr>
      <w:b/>
      <w:bCs/>
    </w:rPr>
  </w:style>
  <w:style w:type="table" w:styleId="857">
    <w:name w:val="Сетка таблицы"/>
    <w:basedOn w:val="845"/>
    <w:next w:val="857"/>
    <w:link w:val="842"/>
    <w:uiPriority w:val="59"/>
    <w:tblPr/>
  </w:style>
  <w:style w:type="paragraph" w:styleId="858">
    <w:name w:val="Default"/>
    <w:next w:val="858"/>
    <w:link w:val="842"/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styleId="859">
    <w:name w:val="consplusnormal"/>
    <w:basedOn w:val="842"/>
    <w:next w:val="859"/>
    <w:link w:val="842"/>
    <w:pPr>
      <w:ind w:firstLine="720"/>
      <w:jc w:val="left"/>
    </w:pPr>
    <w:rPr>
      <w:rFonts w:ascii="Arial" w:hAnsi="Arial" w:eastAsia="Arial Unicode MS" w:cs="Arial"/>
      <w:sz w:val="20"/>
      <w:szCs w:val="20"/>
      <w:lang w:eastAsia="ru-RU"/>
    </w:rPr>
  </w:style>
  <w:style w:type="character" w:styleId="860">
    <w:name w:val="Заголовок 2 Знак"/>
    <w:next w:val="860"/>
    <w:link w:val="843"/>
    <w:uiPriority w:val="9"/>
    <w:rPr>
      <w:rFonts w:ascii="Times New Roman" w:hAnsi="Times New Roman" w:eastAsia="Times New Roman"/>
      <w:b/>
      <w:bCs/>
      <w:sz w:val="36"/>
      <w:szCs w:val="36"/>
    </w:r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Департамент труда и занятости населения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revision>4</cp:revision>
  <dcterms:created xsi:type="dcterms:W3CDTF">2024-04-09T09:45:00Z</dcterms:created>
  <dcterms:modified xsi:type="dcterms:W3CDTF">2024-07-17T05:28:38Z</dcterms:modified>
  <cp:version>983040</cp:version>
</cp:coreProperties>
</file>