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B3" w:rsidRPr="0094185A" w:rsidRDefault="005C64E1" w:rsidP="00A475B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75B3" w:rsidRPr="0094185A">
        <w:rPr>
          <w:sz w:val="28"/>
          <w:szCs w:val="28"/>
        </w:rPr>
        <w:t xml:space="preserve">роект постановления </w:t>
      </w:r>
    </w:p>
    <w:p w:rsidR="00A475B3" w:rsidRPr="0094185A" w:rsidRDefault="00A475B3" w:rsidP="00A475B3">
      <w:pPr>
        <w:pStyle w:val="a3"/>
        <w:jc w:val="right"/>
        <w:rPr>
          <w:sz w:val="28"/>
          <w:szCs w:val="28"/>
        </w:rPr>
      </w:pPr>
      <w:r w:rsidRPr="0094185A">
        <w:rPr>
          <w:sz w:val="28"/>
          <w:szCs w:val="28"/>
        </w:rPr>
        <w:t>Правительства Новосибирской области</w:t>
      </w: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Default="00A475B3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E62F1A" w:rsidRPr="0094185A" w:rsidRDefault="00E62F1A" w:rsidP="005C63B9">
      <w:pPr>
        <w:pStyle w:val="a3"/>
        <w:jc w:val="center"/>
        <w:rPr>
          <w:sz w:val="28"/>
          <w:szCs w:val="28"/>
        </w:rPr>
      </w:pPr>
    </w:p>
    <w:p w:rsidR="00951EFA" w:rsidRDefault="00951EFA" w:rsidP="00951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951EFA" w:rsidRDefault="00CD6377" w:rsidP="00951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 26.09.2012 № 435</w:t>
      </w:r>
      <w:r w:rsidR="00951EFA">
        <w:rPr>
          <w:sz w:val="28"/>
          <w:szCs w:val="28"/>
        </w:rPr>
        <w:t>-п</w:t>
      </w:r>
    </w:p>
    <w:p w:rsidR="00951EFA" w:rsidRDefault="00951EFA" w:rsidP="00A445C4">
      <w:pPr>
        <w:pStyle w:val="a3"/>
        <w:jc w:val="center"/>
        <w:rPr>
          <w:sz w:val="28"/>
          <w:szCs w:val="28"/>
        </w:rPr>
      </w:pPr>
    </w:p>
    <w:p w:rsidR="00A445C4" w:rsidRDefault="00A445C4" w:rsidP="00A445C4">
      <w:pPr>
        <w:pStyle w:val="a3"/>
        <w:jc w:val="center"/>
        <w:rPr>
          <w:sz w:val="28"/>
          <w:szCs w:val="28"/>
        </w:rPr>
      </w:pPr>
    </w:p>
    <w:p w:rsidR="00951EFA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> о с т а н о в л</w:t>
      </w:r>
      <w:r>
        <w:rPr>
          <w:rFonts w:eastAsia="Calibri"/>
          <w:b/>
          <w:sz w:val="28"/>
          <w:szCs w:val="28"/>
          <w:lang w:val="en-US"/>
        </w:rPr>
        <w:t> </w:t>
      </w:r>
      <w:r>
        <w:rPr>
          <w:rFonts w:eastAsia="Calibri"/>
          <w:b/>
          <w:sz w:val="28"/>
          <w:szCs w:val="28"/>
        </w:rPr>
        <w:t>я</w:t>
      </w:r>
      <w:r>
        <w:rPr>
          <w:rFonts w:eastAsia="Calibri"/>
          <w:b/>
          <w:sz w:val="28"/>
          <w:szCs w:val="28"/>
          <w:lang w:val="en-US"/>
        </w:rPr>
        <w:t> </w:t>
      </w:r>
      <w:r>
        <w:rPr>
          <w:rFonts w:eastAsia="Calibri"/>
          <w:b/>
          <w:sz w:val="28"/>
          <w:szCs w:val="28"/>
        </w:rPr>
        <w:t>е т</w:t>
      </w:r>
      <w:r>
        <w:rPr>
          <w:b/>
          <w:sz w:val="28"/>
          <w:szCs w:val="28"/>
        </w:rPr>
        <w:t>:</w:t>
      </w:r>
    </w:p>
    <w:p w:rsidR="00951EFA" w:rsidRDefault="00951EFA" w:rsidP="00951EF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</w:t>
      </w:r>
      <w:r w:rsidR="002B32A1">
        <w:rPr>
          <w:sz w:val="28"/>
          <w:szCs w:val="28"/>
        </w:rPr>
        <w:t>льств</w:t>
      </w:r>
      <w:r w:rsidR="00CD6377">
        <w:rPr>
          <w:sz w:val="28"/>
          <w:szCs w:val="28"/>
        </w:rPr>
        <w:t>а Новосибирской области от 26.09.2012 № 435</w:t>
      </w:r>
      <w:r w:rsidR="002B32A1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государственного природного </w:t>
      </w:r>
      <w:r w:rsidR="002B32A1">
        <w:rPr>
          <w:sz w:val="28"/>
          <w:szCs w:val="28"/>
        </w:rPr>
        <w:t>заказника «</w:t>
      </w:r>
      <w:proofErr w:type="spellStart"/>
      <w:r w:rsidR="002B32A1">
        <w:rPr>
          <w:sz w:val="28"/>
          <w:szCs w:val="28"/>
        </w:rPr>
        <w:t>К</w:t>
      </w:r>
      <w:r w:rsidR="00CD6377">
        <w:rPr>
          <w:sz w:val="28"/>
          <w:szCs w:val="28"/>
        </w:rPr>
        <w:t>азатовский</w:t>
      </w:r>
      <w:proofErr w:type="spellEnd"/>
      <w:r w:rsidRPr="007919EF">
        <w:rPr>
          <w:sz w:val="28"/>
          <w:szCs w:val="28"/>
        </w:rPr>
        <w:t>» Новосибирск</w:t>
      </w:r>
      <w:r w:rsidR="002B32A1">
        <w:rPr>
          <w:sz w:val="28"/>
          <w:szCs w:val="28"/>
        </w:rPr>
        <w:t>ой области»</w:t>
      </w:r>
      <w:r w:rsidRPr="007919EF">
        <w:rPr>
          <w:sz w:val="28"/>
          <w:szCs w:val="28"/>
        </w:rPr>
        <w:t xml:space="preserve"> следующие изменения:</w:t>
      </w:r>
    </w:p>
    <w:p w:rsidR="00EF2C7A" w:rsidRPr="007919EF" w:rsidRDefault="00EF2C7A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9" w:anchor="/document/7212272/entry/1000" w:history="1">
        <w:proofErr w:type="gramStart"/>
        <w:r>
          <w:rPr>
            <w:rStyle w:val="a9"/>
            <w:color w:val="auto"/>
            <w:sz w:val="28"/>
            <w:szCs w:val="28"/>
            <w:u w:val="none"/>
          </w:rPr>
          <w:t>П</w:t>
        </w:r>
        <w:r w:rsidRPr="007919EF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Pr="007919EF">
        <w:rPr>
          <w:rStyle w:val="a9"/>
          <w:color w:val="auto"/>
          <w:sz w:val="28"/>
          <w:szCs w:val="28"/>
          <w:u w:val="none"/>
        </w:rPr>
        <w:t>и</w:t>
      </w:r>
      <w:proofErr w:type="gramEnd"/>
      <w:r w:rsidRPr="007919EF">
        <w:rPr>
          <w:rStyle w:val="a9"/>
          <w:color w:val="auto"/>
          <w:sz w:val="28"/>
          <w:szCs w:val="28"/>
          <w:u w:val="none"/>
        </w:rPr>
        <w:t xml:space="preserve"> </w:t>
      </w:r>
      <w:r w:rsidRPr="007919EF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Pr="00BC77E5">
        <w:rPr>
          <w:sz w:val="28"/>
          <w:szCs w:val="28"/>
        </w:rPr>
        <w:t>–</w:t>
      </w:r>
      <w:r w:rsidRPr="007919EF">
        <w:rPr>
          <w:sz w:val="28"/>
          <w:szCs w:val="28"/>
        </w:rPr>
        <w:t xml:space="preserve"> государственного п</w:t>
      </w:r>
      <w:r>
        <w:rPr>
          <w:sz w:val="28"/>
          <w:szCs w:val="28"/>
        </w:rPr>
        <w:t>риродного заказника «</w:t>
      </w:r>
      <w:proofErr w:type="spellStart"/>
      <w:r>
        <w:rPr>
          <w:sz w:val="28"/>
          <w:szCs w:val="28"/>
        </w:rPr>
        <w:t>Казатовский</w:t>
      </w:r>
      <w:proofErr w:type="spellEnd"/>
      <w:r w:rsidRPr="007919EF">
        <w:rPr>
          <w:sz w:val="28"/>
          <w:szCs w:val="28"/>
        </w:rPr>
        <w:t>» Новосибирской области:</w:t>
      </w:r>
    </w:p>
    <w:p w:rsidR="00EF2C7A" w:rsidRDefault="00EF2C7A" w:rsidP="00951EF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 10.1 изложить в следующей редакции: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2C7A">
        <w:rPr>
          <w:sz w:val="28"/>
          <w:szCs w:val="28"/>
        </w:rPr>
        <w:t>10.1. На особо охраняемой природной территории регионального значения допускается:</w:t>
      </w:r>
    </w:p>
    <w:p w:rsidR="00EF2C7A" w:rsidRPr="00EF2C7A" w:rsidRDefault="002C27C6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F2C7A" w:rsidRPr="00EF2C7A">
        <w:rPr>
          <w:sz w:val="28"/>
          <w:szCs w:val="28"/>
        </w:rPr>
        <w:t>строительство объектов лесной инфраструктуры на землях лесного фонда в соответствии с лесным законодательством Российской Федерации;</w:t>
      </w:r>
    </w:p>
    <w:p w:rsidR="00EF2C7A" w:rsidRPr="00EF2C7A" w:rsidRDefault="002C27C6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F2C7A" w:rsidRPr="00EF2C7A">
        <w:rPr>
          <w:sz w:val="28"/>
          <w:szCs w:val="28"/>
        </w:rPr>
        <w:t xml:space="preserve">строительство зданий, строений, сооружений, включая объекты капитального строительства, на земельных участках из земель сельскохозяйственного назначения, земель промышленности, энергетики, </w:t>
      </w:r>
      <w:proofErr w:type="gramStart"/>
      <w:r w:rsidR="00EF2C7A" w:rsidRPr="00EF2C7A">
        <w:rPr>
          <w:sz w:val="28"/>
          <w:szCs w:val="28"/>
        </w:rPr>
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(далее – земли промышленности);</w:t>
      </w:r>
      <w:proofErr w:type="gramEnd"/>
    </w:p>
    <w:p w:rsidR="00EF2C7A" w:rsidRPr="00EF2C7A" w:rsidRDefault="002C27C6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F2C7A" w:rsidRPr="00EF2C7A">
        <w:rPr>
          <w:sz w:val="28"/>
          <w:szCs w:val="28"/>
        </w:rPr>
        <w:t>строительство линейных объектов при отсутствии иных возможных вариантов строительства этих объектов.</w:t>
      </w:r>
    </w:p>
    <w:p w:rsidR="00EF2C7A" w:rsidRPr="00EF2C7A" w:rsidRDefault="002C27C6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F2C7A" w:rsidRPr="00EF2C7A">
        <w:rPr>
          <w:sz w:val="28"/>
          <w:szCs w:val="28"/>
        </w:rPr>
        <w:t>реконструкция и капитальный ремонт, существующих объектов капитального строительства, линейных объектов;</w:t>
      </w:r>
    </w:p>
    <w:p w:rsid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lastRenderedPageBreak/>
        <w:t xml:space="preserve">Строительство, реконструкция объектов капитального строительства, линейных объектов не должны приводить к нарушению ландшафта, гидрогеологического режима местности, возникновению и развитию эрозионных процессов. </w:t>
      </w:r>
    </w:p>
    <w:p w:rsidR="00531A4B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Строительство, реконструкция объектов капитального строительства, линейных объектов осуществляется на основании разрешения на строительство, выданного министерством природных ресурсов и экологии Новосибирской области, за исключением случаев, установленных Градостроительным кодексом Российской Федерации, нормативными правовыми актами Правительства Российской Федерации, законодательством Новосибирской области о градостроительной деятельности.</w:t>
      </w:r>
      <w:r w:rsidR="00531A4B">
        <w:rPr>
          <w:sz w:val="28"/>
          <w:szCs w:val="28"/>
        </w:rPr>
        <w:t xml:space="preserve"> </w:t>
      </w:r>
    </w:p>
    <w:p w:rsidR="002C27C6" w:rsidRDefault="00531A4B" w:rsidP="00EF2C7A">
      <w:pPr>
        <w:pStyle w:val="a3"/>
        <w:ind w:firstLine="709"/>
        <w:jc w:val="both"/>
        <w:rPr>
          <w:sz w:val="28"/>
          <w:szCs w:val="28"/>
        </w:rPr>
      </w:pPr>
      <w:r w:rsidRPr="00531A4B">
        <w:rPr>
          <w:sz w:val="28"/>
          <w:szCs w:val="28"/>
        </w:rPr>
        <w:t xml:space="preserve">Проектная документация объектов капитального строительства подлежит государственной экологической </w:t>
      </w:r>
      <w:r w:rsidR="002C27C6">
        <w:rPr>
          <w:sz w:val="28"/>
          <w:szCs w:val="28"/>
        </w:rPr>
        <w:t xml:space="preserve">экспертизе регионального уровня, за исключением </w:t>
      </w:r>
      <w:r w:rsidR="002C27C6" w:rsidRPr="002C27C6">
        <w:rPr>
          <w:sz w:val="28"/>
          <w:szCs w:val="28"/>
        </w:rPr>
        <w:t>проектной документации</w:t>
      </w:r>
      <w:r w:rsidR="002C27C6">
        <w:rPr>
          <w:sz w:val="28"/>
          <w:szCs w:val="28"/>
        </w:rPr>
        <w:t xml:space="preserve">, подлежащей </w:t>
      </w:r>
      <w:r w:rsidR="002C27C6" w:rsidRPr="002C27C6">
        <w:rPr>
          <w:sz w:val="28"/>
          <w:szCs w:val="28"/>
        </w:rPr>
        <w:t>государс</w:t>
      </w:r>
      <w:r w:rsidR="002C27C6">
        <w:rPr>
          <w:sz w:val="28"/>
          <w:szCs w:val="28"/>
        </w:rPr>
        <w:t>твенной экологической экспертизе</w:t>
      </w:r>
      <w:r w:rsidR="002C27C6" w:rsidRPr="002C27C6">
        <w:rPr>
          <w:sz w:val="28"/>
          <w:szCs w:val="28"/>
        </w:rPr>
        <w:t xml:space="preserve"> федерального уровня</w:t>
      </w:r>
      <w:r w:rsidR="002C27C6">
        <w:rPr>
          <w:sz w:val="28"/>
          <w:szCs w:val="28"/>
        </w:rPr>
        <w:t xml:space="preserve"> в соответствии с </w:t>
      </w:r>
      <w:r w:rsidR="002C27C6" w:rsidRPr="002C27C6">
        <w:rPr>
          <w:sz w:val="28"/>
          <w:szCs w:val="28"/>
        </w:rPr>
        <w:t>Федеральн</w:t>
      </w:r>
      <w:r w:rsidR="002C27C6">
        <w:rPr>
          <w:sz w:val="28"/>
          <w:szCs w:val="28"/>
        </w:rPr>
        <w:t>ым</w:t>
      </w:r>
      <w:r w:rsidR="002C27C6" w:rsidRPr="002C27C6">
        <w:rPr>
          <w:sz w:val="28"/>
          <w:szCs w:val="28"/>
        </w:rPr>
        <w:t xml:space="preserve"> закон</w:t>
      </w:r>
      <w:r w:rsidR="002C27C6">
        <w:rPr>
          <w:sz w:val="28"/>
          <w:szCs w:val="28"/>
        </w:rPr>
        <w:t>ом от 23.11.1995 № </w:t>
      </w:r>
      <w:r w:rsidR="002C27C6" w:rsidRPr="002C27C6">
        <w:rPr>
          <w:sz w:val="28"/>
          <w:szCs w:val="28"/>
        </w:rPr>
        <w:t xml:space="preserve">174-ФЗ </w:t>
      </w:r>
      <w:r w:rsidR="002C27C6">
        <w:rPr>
          <w:sz w:val="28"/>
          <w:szCs w:val="28"/>
        </w:rPr>
        <w:t>«Об экологической экспертизе».</w:t>
      </w:r>
    </w:p>
    <w:p w:rsid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 случаях если разрешение на строительство не требуется в соответствии с Градостроительным кодексом Российской Федерации, нормативными правовыми актами Правительства Российской Федерации, законодательством Новосибирской области о градостроительной деятельности строительство, реконструкция, капитальный ремонт объектов капитального строительства, линейных объектов осуществляется с уведомлением министерства природных ресурсов и экологии Новосибирской области о сроках начала работ.</w:t>
      </w:r>
      <w:r>
        <w:rPr>
          <w:sz w:val="28"/>
          <w:szCs w:val="28"/>
        </w:rPr>
        <w:t>».</w:t>
      </w:r>
    </w:p>
    <w:p w:rsidR="00EF2C7A" w:rsidRPr="00EF2C7A" w:rsidRDefault="00F6322D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Дополнить пунктом 10.2 следующего содержания:</w:t>
      </w:r>
    </w:p>
    <w:p w:rsidR="00EF2C7A" w:rsidRPr="00EF2C7A" w:rsidRDefault="00F6322D" w:rsidP="00EF2C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«10.2. </w:t>
      </w:r>
      <w:r w:rsidR="00EF2C7A" w:rsidRPr="00EF2C7A">
        <w:rPr>
          <w:sz w:val="28"/>
          <w:szCs w:val="28"/>
        </w:rPr>
        <w:t>Виды разрешенного использования земельных участков, расположенных в границах особо охраняемой природной территории регионального значения определены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 01.09.2014 № 540.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Основные виды разрешенного использования земельных участков, расположенных в границах особо охраняемой природной территории регионального значения: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выращивание зерновых и иных сельскохозяйственных культур (1.2)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овощеводство (1.3)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выращивание льна и конопли (1.6)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скотоводство (1.8)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звероводство (1.9)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птицеводство (1.10)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lastRenderedPageBreak/>
        <w:t>свиноводство (1.11)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пчеловодство (1.12)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научное обеспечение сельского хозяйства (1.14)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хранение и переработка сельскохозяйственной продукции (1.15)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ведение личного подсобного хозяйства на полевых участках обеспечение сельскохозяйственного производства (1.16)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обеспечение сельскохозяйственного производства (1.18)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сенокошение (1.19)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выпас сельскохозяйственных животных (1.20)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коммунальное обслуживание (3.1) – для земельных участков из земель промышленности;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обеспечение научной деятельности (3.9);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обслуживание автотранспорта (4.9) – для земельных участков из земель промышленности;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природно-познавательный туризм (5.2);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производственная деятельность (6.0) – для земельных участков из земель промышленности;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энергетика (6.7) – для земельных участков из земель промышленности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связь (6.8) – для земельных участков из земель промышленности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склады (6.9) – для земельных участков из земель промышленности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автомобильный транспорт (7.2) – для земельных участков из земель промышленности.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деятельность по особой охране и изучению природы (9.0);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охрана природных территорий (9.1);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историко-культурная деятельность (9.3);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водные объекты (11.0);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общее пользование водными объектами (11.1);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ритуальная деятельность (12.1).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Вспомогательные виды разрешенного использования земельных участков, расположенных в границах особо охраняемой природной территории регионального значения: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передвижное жилье (2.4) – для земельных участков из земель сельскохозяйственного назначения;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обслуживание автотранспорта (4.9) – для земельных участков из земель сельскохозяйственного назначения.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lastRenderedPageBreak/>
        <w:t>Предельные (максимальные и (или) минимальные) параметры разрешенного строительства, реконструкции объектов капитального строительства в границах особо охраняемой природной территории регионального значения: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—3 м;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предельное количество этажей - 3 этажа;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5%.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Указанные виды разрешенного использования земельных участков и предельные (максимальные и (или) минимальные) параметры разрешенного строительства, реконструкции объектов капитального строительства не распространяются на случаи размещения линейных объектов.</w:t>
      </w:r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F2C7A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настоящему Положению, могут использоваться без установления срока приведения их в соответствие с настоящим Положением,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среды.</w:t>
      </w:r>
      <w:proofErr w:type="gramEnd"/>
    </w:p>
    <w:p w:rsidR="00EF2C7A" w:rsidRP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Реконструкция указанных в настоящем пункте объектов капитального строительства может осуществляться только путем приведения таких объектов в соответствие с настоящим Положением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настоящим Положением.</w:t>
      </w:r>
    </w:p>
    <w:p w:rsidR="00EF2C7A" w:rsidRDefault="00EF2C7A" w:rsidP="00EF2C7A">
      <w:pPr>
        <w:pStyle w:val="a3"/>
        <w:ind w:firstLine="709"/>
        <w:jc w:val="both"/>
        <w:rPr>
          <w:sz w:val="28"/>
          <w:szCs w:val="28"/>
        </w:rPr>
      </w:pPr>
      <w:r w:rsidRPr="00EF2C7A">
        <w:rPr>
          <w:sz w:val="28"/>
          <w:szCs w:val="28"/>
        </w:rPr>
        <w:t>В случае если использование указанных в настоящем пункте земельных участков и объектов капитального строительства продолжается и опасно для жизни или здоровья человека, для окружающей среды в соответствии с федеральными законами может быть наложен запрет на использование таких земельных участков и объектов</w:t>
      </w:r>
      <w:proofErr w:type="gramStart"/>
      <w:r w:rsidRPr="00EF2C7A">
        <w:rPr>
          <w:sz w:val="28"/>
          <w:szCs w:val="28"/>
        </w:rPr>
        <w:t>.</w:t>
      </w:r>
      <w:r w:rsidR="00F6322D">
        <w:rPr>
          <w:sz w:val="28"/>
          <w:szCs w:val="28"/>
        </w:rPr>
        <w:t>».</w:t>
      </w:r>
      <w:proofErr w:type="gramEnd"/>
    </w:p>
    <w:p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222 54 48</w:t>
      </w:r>
    </w:p>
    <w:p w:rsidR="00B06E6A" w:rsidRPr="00F87699" w:rsidRDefault="00B06E6A" w:rsidP="00B06E6A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  <w:sectPr w:rsidR="00B06E6A" w:rsidRPr="00F87699" w:rsidSect="00E721C0"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Первый заместитель </w:t>
            </w: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В.М. </w:t>
            </w:r>
            <w:proofErr w:type="spellStart"/>
            <w:r w:rsidRPr="007C67A4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«____» </w:t>
            </w:r>
            <w:r w:rsidR="007C67A4" w:rsidRPr="007C67A4">
              <w:rPr>
                <w:sz w:val="28"/>
                <w:szCs w:val="28"/>
              </w:rPr>
              <w:t>___________2019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Заместитель Губернатора </w:t>
            </w:r>
            <w:r w:rsidRPr="007C67A4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А.В. </w:t>
            </w:r>
            <w:proofErr w:type="spellStart"/>
            <w:r w:rsidRPr="007C67A4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C67A4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</w:t>
            </w:r>
            <w:r w:rsidR="007C67A4" w:rsidRPr="007C67A4">
              <w:rPr>
                <w:sz w:val="28"/>
                <w:szCs w:val="28"/>
              </w:rPr>
              <w:t>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7C67A4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Н.В. </w:t>
            </w:r>
            <w:proofErr w:type="spellStart"/>
            <w:r w:rsidRPr="007C67A4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«____» </w:t>
            </w:r>
            <w:r w:rsidR="007C67A4" w:rsidRPr="007C67A4">
              <w:rPr>
                <w:sz w:val="28"/>
                <w:szCs w:val="28"/>
              </w:rPr>
              <w:t>___________2019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3E11F8" w:rsidP="0070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C67A4" w:rsidRPr="007C67A4">
              <w:rPr>
                <w:sz w:val="28"/>
                <w:szCs w:val="28"/>
              </w:rPr>
              <w:t>инистр</w:t>
            </w:r>
            <w:r w:rsidR="00EB1FC0">
              <w:rPr>
                <w:sz w:val="28"/>
                <w:szCs w:val="28"/>
              </w:rPr>
              <w:t xml:space="preserve"> природных ресурсов и </w:t>
            </w:r>
            <w:r w:rsidR="00B06E6A"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685AF7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А.А. Даниленко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7C67A4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</w:t>
            </w:r>
            <w:r w:rsidR="00B06E6A" w:rsidRPr="007C67A4">
              <w:rPr>
                <w:sz w:val="28"/>
                <w:szCs w:val="28"/>
              </w:rPr>
              <w:t> г.</w:t>
            </w:r>
          </w:p>
        </w:tc>
      </w:tr>
    </w:tbl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и документационного обеспечения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D74F89" w:rsidRDefault="00B06E6A" w:rsidP="00652EDD">
      <w:pPr>
        <w:pStyle w:val="ConsPlusNormal"/>
        <w:jc w:val="both"/>
        <w:rPr>
          <w:sz w:val="28"/>
          <w:szCs w:val="28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sectPr w:rsidR="00D74F89" w:rsidSect="002B32A1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58" w:rsidRDefault="00456358">
      <w:r>
        <w:separator/>
      </w:r>
    </w:p>
  </w:endnote>
  <w:endnote w:type="continuationSeparator" w:id="0">
    <w:p w:rsidR="00456358" w:rsidRDefault="0045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58" w:rsidRDefault="00456358">
      <w:r>
        <w:separator/>
      </w:r>
    </w:p>
  </w:footnote>
  <w:footnote w:type="continuationSeparator" w:id="0">
    <w:p w:rsidR="00456358" w:rsidRDefault="00456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9577"/>
      <w:docPartObj>
        <w:docPartGallery w:val="Page Numbers (Top of Page)"/>
        <w:docPartUnique/>
      </w:docPartObj>
    </w:sdtPr>
    <w:sdtEndPr/>
    <w:sdtContent>
      <w:p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147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21C0" w:rsidRDefault="004563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7A4" w:rsidRDefault="007C67A4">
    <w:pPr>
      <w:pStyle w:val="a7"/>
      <w:jc w:val="center"/>
    </w:pPr>
  </w:p>
  <w:p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72A67"/>
    <w:rsid w:val="00072BD3"/>
    <w:rsid w:val="0008472A"/>
    <w:rsid w:val="0008781A"/>
    <w:rsid w:val="00093D82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6742"/>
    <w:rsid w:val="001408AE"/>
    <w:rsid w:val="0014252A"/>
    <w:rsid w:val="00144DA4"/>
    <w:rsid w:val="00147B14"/>
    <w:rsid w:val="00170587"/>
    <w:rsid w:val="001707EE"/>
    <w:rsid w:val="00191879"/>
    <w:rsid w:val="0019228D"/>
    <w:rsid w:val="0019746B"/>
    <w:rsid w:val="001A2EEA"/>
    <w:rsid w:val="001A64FB"/>
    <w:rsid w:val="001A7B6F"/>
    <w:rsid w:val="001B47D6"/>
    <w:rsid w:val="001E0867"/>
    <w:rsid w:val="001E6B6E"/>
    <w:rsid w:val="001F33DF"/>
    <w:rsid w:val="001F36C9"/>
    <w:rsid w:val="001F7F7F"/>
    <w:rsid w:val="00205836"/>
    <w:rsid w:val="0021596E"/>
    <w:rsid w:val="00224305"/>
    <w:rsid w:val="00226DE8"/>
    <w:rsid w:val="002325F9"/>
    <w:rsid w:val="00244592"/>
    <w:rsid w:val="002471DA"/>
    <w:rsid w:val="0025463C"/>
    <w:rsid w:val="0025599D"/>
    <w:rsid w:val="002622F4"/>
    <w:rsid w:val="0026604C"/>
    <w:rsid w:val="002733FE"/>
    <w:rsid w:val="00276782"/>
    <w:rsid w:val="00284F79"/>
    <w:rsid w:val="00291697"/>
    <w:rsid w:val="0029355B"/>
    <w:rsid w:val="00296AF7"/>
    <w:rsid w:val="002A5BE9"/>
    <w:rsid w:val="002B32A1"/>
    <w:rsid w:val="002C27C6"/>
    <w:rsid w:val="002D0D03"/>
    <w:rsid w:val="002E04FD"/>
    <w:rsid w:val="002E4CD4"/>
    <w:rsid w:val="002E5F0F"/>
    <w:rsid w:val="002E6AD1"/>
    <w:rsid w:val="002F486B"/>
    <w:rsid w:val="00307327"/>
    <w:rsid w:val="00321AFE"/>
    <w:rsid w:val="00326C21"/>
    <w:rsid w:val="00333DDB"/>
    <w:rsid w:val="00333E52"/>
    <w:rsid w:val="00335BB4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C5DE7"/>
    <w:rsid w:val="003C7A2A"/>
    <w:rsid w:val="003D2042"/>
    <w:rsid w:val="003D669E"/>
    <w:rsid w:val="003E11F8"/>
    <w:rsid w:val="003E2A8F"/>
    <w:rsid w:val="003E35B7"/>
    <w:rsid w:val="003E40DC"/>
    <w:rsid w:val="003F1996"/>
    <w:rsid w:val="003F3F82"/>
    <w:rsid w:val="00403B67"/>
    <w:rsid w:val="004056EB"/>
    <w:rsid w:val="00406C45"/>
    <w:rsid w:val="00420A86"/>
    <w:rsid w:val="004269A4"/>
    <w:rsid w:val="00431524"/>
    <w:rsid w:val="00433CB8"/>
    <w:rsid w:val="00437416"/>
    <w:rsid w:val="004427C4"/>
    <w:rsid w:val="00443A80"/>
    <w:rsid w:val="00450020"/>
    <w:rsid w:val="00450755"/>
    <w:rsid w:val="00456358"/>
    <w:rsid w:val="00457471"/>
    <w:rsid w:val="00466C09"/>
    <w:rsid w:val="004675D8"/>
    <w:rsid w:val="00476C5A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F3D39"/>
    <w:rsid w:val="004F3F31"/>
    <w:rsid w:val="00502A2E"/>
    <w:rsid w:val="00507264"/>
    <w:rsid w:val="00510735"/>
    <w:rsid w:val="00531A4B"/>
    <w:rsid w:val="00533A45"/>
    <w:rsid w:val="00540262"/>
    <w:rsid w:val="00540BE9"/>
    <w:rsid w:val="005449FE"/>
    <w:rsid w:val="0055008A"/>
    <w:rsid w:val="00556267"/>
    <w:rsid w:val="00572B5D"/>
    <w:rsid w:val="00575886"/>
    <w:rsid w:val="00576424"/>
    <w:rsid w:val="005823DC"/>
    <w:rsid w:val="00586FDF"/>
    <w:rsid w:val="0059000C"/>
    <w:rsid w:val="005934A7"/>
    <w:rsid w:val="00593B3E"/>
    <w:rsid w:val="00594C20"/>
    <w:rsid w:val="005A0A97"/>
    <w:rsid w:val="005A77F6"/>
    <w:rsid w:val="005B28F3"/>
    <w:rsid w:val="005B74A8"/>
    <w:rsid w:val="005C1EF5"/>
    <w:rsid w:val="005C63B9"/>
    <w:rsid w:val="005C64E1"/>
    <w:rsid w:val="005C712D"/>
    <w:rsid w:val="005D10AE"/>
    <w:rsid w:val="005E01E7"/>
    <w:rsid w:val="005E2526"/>
    <w:rsid w:val="005E7443"/>
    <w:rsid w:val="005F0035"/>
    <w:rsid w:val="005F3B00"/>
    <w:rsid w:val="00606997"/>
    <w:rsid w:val="00606F7E"/>
    <w:rsid w:val="0061741A"/>
    <w:rsid w:val="00620E9E"/>
    <w:rsid w:val="00621854"/>
    <w:rsid w:val="0062675E"/>
    <w:rsid w:val="00631BE4"/>
    <w:rsid w:val="00644D87"/>
    <w:rsid w:val="00646344"/>
    <w:rsid w:val="00647A21"/>
    <w:rsid w:val="00652EDD"/>
    <w:rsid w:val="00653C62"/>
    <w:rsid w:val="006542CA"/>
    <w:rsid w:val="00663809"/>
    <w:rsid w:val="0066439E"/>
    <w:rsid w:val="006751C5"/>
    <w:rsid w:val="00675A2C"/>
    <w:rsid w:val="006761C6"/>
    <w:rsid w:val="00681272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44A5"/>
    <w:rsid w:val="006E20AF"/>
    <w:rsid w:val="006E513B"/>
    <w:rsid w:val="006F791D"/>
    <w:rsid w:val="00704E65"/>
    <w:rsid w:val="00717365"/>
    <w:rsid w:val="00725347"/>
    <w:rsid w:val="00727258"/>
    <w:rsid w:val="00731BE9"/>
    <w:rsid w:val="00734F5A"/>
    <w:rsid w:val="007437D5"/>
    <w:rsid w:val="00745598"/>
    <w:rsid w:val="007510E5"/>
    <w:rsid w:val="007530BA"/>
    <w:rsid w:val="007535FB"/>
    <w:rsid w:val="0075645A"/>
    <w:rsid w:val="00767633"/>
    <w:rsid w:val="007844A1"/>
    <w:rsid w:val="007919EF"/>
    <w:rsid w:val="007A3FB7"/>
    <w:rsid w:val="007A6E92"/>
    <w:rsid w:val="007B3663"/>
    <w:rsid w:val="007C1477"/>
    <w:rsid w:val="007C3F2B"/>
    <w:rsid w:val="007C4EE9"/>
    <w:rsid w:val="007C612D"/>
    <w:rsid w:val="007C67A4"/>
    <w:rsid w:val="007F4AC2"/>
    <w:rsid w:val="007F73AC"/>
    <w:rsid w:val="007F7C34"/>
    <w:rsid w:val="00804521"/>
    <w:rsid w:val="008140D0"/>
    <w:rsid w:val="00815C75"/>
    <w:rsid w:val="008235AE"/>
    <w:rsid w:val="008410D3"/>
    <w:rsid w:val="00841E43"/>
    <w:rsid w:val="00842FAA"/>
    <w:rsid w:val="00863494"/>
    <w:rsid w:val="00875108"/>
    <w:rsid w:val="00877499"/>
    <w:rsid w:val="0088157D"/>
    <w:rsid w:val="00883138"/>
    <w:rsid w:val="00891DA3"/>
    <w:rsid w:val="008B3652"/>
    <w:rsid w:val="008B3F75"/>
    <w:rsid w:val="008C4533"/>
    <w:rsid w:val="008C6CF8"/>
    <w:rsid w:val="008D1BC0"/>
    <w:rsid w:val="008E0FD3"/>
    <w:rsid w:val="008E1C42"/>
    <w:rsid w:val="008E3D86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79A3"/>
    <w:rsid w:val="0094185A"/>
    <w:rsid w:val="00943084"/>
    <w:rsid w:val="00947E47"/>
    <w:rsid w:val="00950201"/>
    <w:rsid w:val="00951EFA"/>
    <w:rsid w:val="00954CDA"/>
    <w:rsid w:val="00961D4A"/>
    <w:rsid w:val="00966F56"/>
    <w:rsid w:val="00972E83"/>
    <w:rsid w:val="00977FD9"/>
    <w:rsid w:val="00982AB4"/>
    <w:rsid w:val="009903A4"/>
    <w:rsid w:val="009934D9"/>
    <w:rsid w:val="00993B06"/>
    <w:rsid w:val="009A4311"/>
    <w:rsid w:val="009A6A57"/>
    <w:rsid w:val="009B1729"/>
    <w:rsid w:val="009B373D"/>
    <w:rsid w:val="009C073F"/>
    <w:rsid w:val="009C2D2B"/>
    <w:rsid w:val="009C4BCB"/>
    <w:rsid w:val="009D11D2"/>
    <w:rsid w:val="009E1C06"/>
    <w:rsid w:val="009F049E"/>
    <w:rsid w:val="009F2D6B"/>
    <w:rsid w:val="009F2E00"/>
    <w:rsid w:val="00A130AB"/>
    <w:rsid w:val="00A25C7C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60D67"/>
    <w:rsid w:val="00A617EC"/>
    <w:rsid w:val="00A61B51"/>
    <w:rsid w:val="00A63124"/>
    <w:rsid w:val="00A65150"/>
    <w:rsid w:val="00A7666E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32F4"/>
    <w:rsid w:val="00AB5226"/>
    <w:rsid w:val="00AC0414"/>
    <w:rsid w:val="00AC7095"/>
    <w:rsid w:val="00AD1956"/>
    <w:rsid w:val="00AD5545"/>
    <w:rsid w:val="00AF29B8"/>
    <w:rsid w:val="00B04FD9"/>
    <w:rsid w:val="00B0696E"/>
    <w:rsid w:val="00B06E6A"/>
    <w:rsid w:val="00B2023A"/>
    <w:rsid w:val="00B227BD"/>
    <w:rsid w:val="00B23A55"/>
    <w:rsid w:val="00B2580B"/>
    <w:rsid w:val="00B27643"/>
    <w:rsid w:val="00B40540"/>
    <w:rsid w:val="00B57B5D"/>
    <w:rsid w:val="00B6012B"/>
    <w:rsid w:val="00B65254"/>
    <w:rsid w:val="00B839BD"/>
    <w:rsid w:val="00B9018D"/>
    <w:rsid w:val="00B9243C"/>
    <w:rsid w:val="00B92F36"/>
    <w:rsid w:val="00B93AC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79AA"/>
    <w:rsid w:val="00BE7F16"/>
    <w:rsid w:val="00BF4D26"/>
    <w:rsid w:val="00BF591D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28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901"/>
    <w:rsid w:val="00C91C38"/>
    <w:rsid w:val="00C933CD"/>
    <w:rsid w:val="00CD0C19"/>
    <w:rsid w:val="00CD3084"/>
    <w:rsid w:val="00CD34B4"/>
    <w:rsid w:val="00CD6377"/>
    <w:rsid w:val="00CD667B"/>
    <w:rsid w:val="00CE0712"/>
    <w:rsid w:val="00CE548F"/>
    <w:rsid w:val="00D065D8"/>
    <w:rsid w:val="00D17E6E"/>
    <w:rsid w:val="00D220C8"/>
    <w:rsid w:val="00D32C0B"/>
    <w:rsid w:val="00D34996"/>
    <w:rsid w:val="00D36AD4"/>
    <w:rsid w:val="00D370B1"/>
    <w:rsid w:val="00D40680"/>
    <w:rsid w:val="00D41EE0"/>
    <w:rsid w:val="00D54B95"/>
    <w:rsid w:val="00D55A77"/>
    <w:rsid w:val="00D63332"/>
    <w:rsid w:val="00D63B2C"/>
    <w:rsid w:val="00D71AA4"/>
    <w:rsid w:val="00D728F3"/>
    <w:rsid w:val="00D74D41"/>
    <w:rsid w:val="00D74F89"/>
    <w:rsid w:val="00D81938"/>
    <w:rsid w:val="00D83C2F"/>
    <w:rsid w:val="00D84129"/>
    <w:rsid w:val="00D848EF"/>
    <w:rsid w:val="00D852FE"/>
    <w:rsid w:val="00D93D3F"/>
    <w:rsid w:val="00D966AA"/>
    <w:rsid w:val="00DA3114"/>
    <w:rsid w:val="00DA478B"/>
    <w:rsid w:val="00DA78BD"/>
    <w:rsid w:val="00DB551E"/>
    <w:rsid w:val="00DB5FEC"/>
    <w:rsid w:val="00DB712A"/>
    <w:rsid w:val="00DC0C30"/>
    <w:rsid w:val="00DC354D"/>
    <w:rsid w:val="00DD19E7"/>
    <w:rsid w:val="00DE6AB7"/>
    <w:rsid w:val="00DE7242"/>
    <w:rsid w:val="00DF0125"/>
    <w:rsid w:val="00DF4A5A"/>
    <w:rsid w:val="00DF5C9D"/>
    <w:rsid w:val="00E03D5F"/>
    <w:rsid w:val="00E11966"/>
    <w:rsid w:val="00E12169"/>
    <w:rsid w:val="00E12A16"/>
    <w:rsid w:val="00E153CF"/>
    <w:rsid w:val="00E207B3"/>
    <w:rsid w:val="00E27A4E"/>
    <w:rsid w:val="00E27A81"/>
    <w:rsid w:val="00E37EEC"/>
    <w:rsid w:val="00E4050A"/>
    <w:rsid w:val="00E40DB9"/>
    <w:rsid w:val="00E50304"/>
    <w:rsid w:val="00E50691"/>
    <w:rsid w:val="00E51A89"/>
    <w:rsid w:val="00E5348C"/>
    <w:rsid w:val="00E62F1A"/>
    <w:rsid w:val="00E72AA9"/>
    <w:rsid w:val="00E9507F"/>
    <w:rsid w:val="00EB1FC0"/>
    <w:rsid w:val="00EC05E8"/>
    <w:rsid w:val="00ED2E1F"/>
    <w:rsid w:val="00ED7C19"/>
    <w:rsid w:val="00EE050B"/>
    <w:rsid w:val="00EE213C"/>
    <w:rsid w:val="00EF2C7A"/>
    <w:rsid w:val="00EF40B6"/>
    <w:rsid w:val="00F00826"/>
    <w:rsid w:val="00F01A22"/>
    <w:rsid w:val="00F03E0C"/>
    <w:rsid w:val="00F112E6"/>
    <w:rsid w:val="00F14E56"/>
    <w:rsid w:val="00F217FD"/>
    <w:rsid w:val="00F22892"/>
    <w:rsid w:val="00F251EE"/>
    <w:rsid w:val="00F265D6"/>
    <w:rsid w:val="00F2720E"/>
    <w:rsid w:val="00F36BAE"/>
    <w:rsid w:val="00F43AF4"/>
    <w:rsid w:val="00F44377"/>
    <w:rsid w:val="00F45AC8"/>
    <w:rsid w:val="00F47218"/>
    <w:rsid w:val="00F550D9"/>
    <w:rsid w:val="00F608DB"/>
    <w:rsid w:val="00F619C7"/>
    <w:rsid w:val="00F6322D"/>
    <w:rsid w:val="00F63D90"/>
    <w:rsid w:val="00F64DBF"/>
    <w:rsid w:val="00F6586F"/>
    <w:rsid w:val="00F66931"/>
    <w:rsid w:val="00F70313"/>
    <w:rsid w:val="00F732A6"/>
    <w:rsid w:val="00F8424E"/>
    <w:rsid w:val="00F87699"/>
    <w:rsid w:val="00F905C6"/>
    <w:rsid w:val="00FA03B7"/>
    <w:rsid w:val="00FA244C"/>
    <w:rsid w:val="00FA33FB"/>
    <w:rsid w:val="00FA7F1D"/>
    <w:rsid w:val="00FC1E46"/>
    <w:rsid w:val="00FC23B2"/>
    <w:rsid w:val="00FC23D7"/>
    <w:rsid w:val="00FC5C57"/>
    <w:rsid w:val="00FC6025"/>
    <w:rsid w:val="00FC66E2"/>
    <w:rsid w:val="00FD6193"/>
    <w:rsid w:val="00FE2A0E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016F-BA5C-4EC4-82FE-34B4557D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4</cp:revision>
  <cp:lastPrinted>2019-03-01T03:43:00Z</cp:lastPrinted>
  <dcterms:created xsi:type="dcterms:W3CDTF">2019-02-22T03:37:00Z</dcterms:created>
  <dcterms:modified xsi:type="dcterms:W3CDTF">2019-03-01T03:43:00Z</dcterms:modified>
</cp:coreProperties>
</file>