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 № 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 Новосибирской области</w:t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от «___» __________ 20__ № ___</w:t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«ПРИЛОЖЕНИЕ № 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 Новосибирской области</w:t>
      </w:r>
      <w:r>
        <w:rPr>
          <w:rFonts w:eastAsiaTheme="minorHAnsi"/>
          <w:sz w:val="28"/>
          <w:szCs w:val="28"/>
        </w:rPr>
      </w:r>
    </w:p>
    <w:p>
      <w:pPr>
        <w:ind w:left="5953" w:right="0" w:firstLine="0"/>
        <w:jc w:val="center"/>
        <w:widowControl w:val="off"/>
        <w:rPr>
          <w:rFonts w:eastAsiaTheme="minorHAnsi"/>
          <w:sz w:val="28"/>
          <w:szCs w:val="28"/>
          <w:lang w:val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от 07.12.2021 № 506-п</w:t>
      </w:r>
      <w:r>
        <w:rPr>
          <w:rFonts w:eastAsiaTheme="minorHAnsi"/>
          <w:sz w:val="28"/>
          <w:szCs w:val="28"/>
          <w:lang w:val="en-US"/>
        </w:rPr>
      </w:r>
    </w:p>
    <w:p>
      <w:pPr>
        <w:ind w:left="0" w:right="0" w:firstLine="0"/>
        <w:rPr>
          <w:rFonts w:eastAsiaTheme="minorEastAsia"/>
          <w:b w:val="0"/>
          <w:bCs w:val="0"/>
          <w:sz w:val="28"/>
          <w:szCs w:val="28"/>
        </w:rPr>
        <w:outlineLvl w:val="0"/>
      </w:pPr>
      <w:r>
        <w:rPr>
          <w:rFonts w:eastAsiaTheme="minorEastAsia"/>
          <w:b w:val="0"/>
          <w:bCs w:val="0"/>
          <w:sz w:val="28"/>
          <w:szCs w:val="28"/>
        </w:rPr>
      </w:r>
      <w:r>
        <w:rPr>
          <w:rFonts w:eastAsiaTheme="minorEastAsia"/>
          <w:b w:val="0"/>
          <w:bCs w:val="0"/>
          <w:sz w:val="28"/>
          <w:szCs w:val="28"/>
        </w:rPr>
      </w:r>
    </w:p>
    <w:p>
      <w:pPr>
        <w:ind w:left="0" w:right="0" w:firstLine="0"/>
        <w:rPr>
          <w:rFonts w:eastAsiaTheme="minorEastAsia"/>
          <w:b w:val="0"/>
          <w:bCs w:val="0"/>
          <w:sz w:val="28"/>
          <w:szCs w:val="28"/>
        </w:rPr>
        <w:outlineLvl w:val="0"/>
      </w:pPr>
      <w:r>
        <w:rPr>
          <w:rFonts w:eastAsiaTheme="minorEastAsia"/>
          <w:b w:val="0"/>
          <w:bCs w:val="0"/>
          <w:sz w:val="28"/>
          <w:szCs w:val="28"/>
        </w:rPr>
      </w:r>
      <w:r>
        <w:rPr>
          <w:rFonts w:eastAsiaTheme="minorEastAsia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ПЕРЕЧЕНЬ</w:t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индикаторов риска нарушений обязательных требований при осуществлении регионального государственного геологического контроля (надзора) на территории Новосибирской области</w:t>
      </w:r>
      <w:r>
        <w:rPr>
          <w:rFonts w:eastAsiaTheme="minorHAnsi"/>
          <w:b w:val="0"/>
          <w:bCs w:val="0"/>
          <w:sz w:val="28"/>
          <w:szCs w:val="28"/>
        </w:rPr>
      </w:r>
      <w:r/>
    </w:p>
    <w:p>
      <w:pPr>
        <w:ind w:left="0" w:right="0" w:firstLine="0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1. </w:t>
      </w:r>
      <w:r>
        <w:rPr>
          <w:b w:val="0"/>
          <w:bCs w:val="0"/>
          <w:sz w:val="28"/>
          <w:szCs w:val="28"/>
        </w:rPr>
        <w:t xml:space="preserve">Наличие горнодобывающего оборудования и горной техники, используемых в деятельности по добыче полезных ископаемых, на земельном участке в границах участка недр, предоставленного в пользование контролируемому лицу для о</w:t>
      </w:r>
      <w:r>
        <w:rPr>
          <w:b w:val="0"/>
          <w:bCs w:val="0"/>
          <w:sz w:val="28"/>
          <w:szCs w:val="28"/>
        </w:rPr>
        <w:t xml:space="preserve">существления геологического изучения, включающего поиски и оценку месторождений полезных ископаемых в соответствии с лицензией на пользование недрами, выявленных по результатам контрольных (надзорных) мероприятий без взаимодействия с контролируемым лицом, </w:t>
      </w:r>
      <w:r>
        <w:rPr>
          <w:b w:val="0"/>
          <w:bCs w:val="0"/>
          <w:sz w:val="28"/>
          <w:szCs w:val="28"/>
        </w:rPr>
        <w:t xml:space="preserve">в том числе при использовании средств</w:t>
      </w:r>
      <w:r>
        <w:rPr>
          <w:b w:val="0"/>
          <w:bCs w:val="0"/>
          <w:sz w:val="28"/>
          <w:szCs w:val="28"/>
        </w:rPr>
        <w:t xml:space="preserve"> дистанционного контроля, </w:t>
      </w:r>
      <w:r>
        <w:rPr>
          <w:b w:val="0"/>
          <w:bCs w:val="0"/>
          <w:sz w:val="28"/>
          <w:szCs w:val="28"/>
        </w:rPr>
        <w:t xml:space="preserve">в отсутствие согласованного с министерством природных ресурсов и экологии Новосибирской области технического проекта разработки мес</w:t>
      </w:r>
      <w:r>
        <w:rPr>
          <w:b w:val="0"/>
          <w:bCs w:val="0"/>
          <w:sz w:val="28"/>
          <w:szCs w:val="28"/>
        </w:rPr>
        <w:t xml:space="preserve">торождения полезного ископаемого и утвержденного заключения государственной экспертизы запасов полезных ископаемых и подземных вод, подтверждающих постановку запасов полезных ископаемых и подземных вод на государственный баланс запасов полезных ископаемых.</w:t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2. </w:t>
      </w:r>
      <w:r>
        <w:rPr>
          <w:b w:val="0"/>
          <w:bCs w:val="0"/>
          <w:sz w:val="28"/>
          <w:szCs w:val="28"/>
        </w:rPr>
        <w:t xml:space="preserve">Наличие на </w:t>
      </w:r>
      <w:r>
        <w:rPr>
          <w:b w:val="0"/>
          <w:bCs w:val="0"/>
          <w:sz w:val="28"/>
          <w:szCs w:val="28"/>
        </w:rPr>
        <w:t xml:space="preserve">земельном участке</w:t>
      </w:r>
      <w:r>
        <w:rPr>
          <w:b w:val="0"/>
          <w:bCs w:val="0"/>
          <w:sz w:val="28"/>
          <w:szCs w:val="28"/>
        </w:rPr>
        <w:t xml:space="preserve">, граничаще</w:t>
      </w:r>
      <w:r>
        <w:rPr>
          <w:b w:val="0"/>
          <w:bCs w:val="0"/>
          <w:sz w:val="28"/>
          <w:szCs w:val="28"/>
        </w:rPr>
        <w:t xml:space="preserve">м </w:t>
      </w:r>
      <w:r>
        <w:rPr>
          <w:b w:val="0"/>
          <w:bCs w:val="0"/>
          <w:sz w:val="28"/>
          <w:szCs w:val="28"/>
        </w:rPr>
        <w:t xml:space="preserve">с участком недр местного значения, </w:t>
      </w:r>
      <w:r>
        <w:rPr>
          <w:b w:val="0"/>
          <w:bCs w:val="0"/>
          <w:sz w:val="28"/>
          <w:szCs w:val="28"/>
        </w:rPr>
        <w:t xml:space="preserve">горных выработок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образованных</w:t>
      </w:r>
      <w:r>
        <w:rPr>
          <w:b w:val="0"/>
          <w:bCs w:val="0"/>
          <w:sz w:val="28"/>
          <w:szCs w:val="28"/>
        </w:rPr>
        <w:t xml:space="preserve"> в период </w:t>
      </w:r>
      <w:r>
        <w:rPr>
          <w:b w:val="0"/>
          <w:bCs w:val="0"/>
          <w:sz w:val="28"/>
          <w:szCs w:val="28"/>
        </w:rPr>
        <w:t xml:space="preserve">осуществления контролируемым лицом в границах участка недр местного значения работ по </w:t>
      </w:r>
      <w:r>
        <w:rPr>
          <w:b w:val="0"/>
          <w:bCs w:val="0"/>
          <w:sz w:val="28"/>
          <w:szCs w:val="28"/>
        </w:rPr>
        <w:t xml:space="preserve">геологическо</w:t>
      </w:r>
      <w:r>
        <w:rPr>
          <w:b w:val="0"/>
          <w:bCs w:val="0"/>
          <w:sz w:val="28"/>
          <w:szCs w:val="28"/>
        </w:rPr>
        <w:t xml:space="preserve">му</w:t>
      </w:r>
      <w:r>
        <w:rPr>
          <w:b w:val="0"/>
          <w:bCs w:val="0"/>
          <w:sz w:val="28"/>
          <w:szCs w:val="28"/>
        </w:rPr>
        <w:t xml:space="preserve"> изучени</w:t>
      </w:r>
      <w:r>
        <w:rPr>
          <w:b w:val="0"/>
          <w:bCs w:val="0"/>
          <w:sz w:val="28"/>
          <w:szCs w:val="28"/>
        </w:rPr>
        <w:t xml:space="preserve">ю</w:t>
      </w:r>
      <w:r>
        <w:rPr>
          <w:b w:val="0"/>
          <w:bCs w:val="0"/>
          <w:sz w:val="28"/>
          <w:szCs w:val="28"/>
        </w:rPr>
        <w:t xml:space="preserve">, включающе</w:t>
      </w:r>
      <w:r>
        <w:rPr>
          <w:b w:val="0"/>
          <w:bCs w:val="0"/>
          <w:sz w:val="28"/>
          <w:szCs w:val="28"/>
        </w:rPr>
        <w:t xml:space="preserve">му</w:t>
      </w:r>
      <w:r>
        <w:rPr>
          <w:b w:val="0"/>
          <w:bCs w:val="0"/>
          <w:sz w:val="28"/>
          <w:szCs w:val="28"/>
        </w:rPr>
        <w:t xml:space="preserve"> поиски и оценку месторождений полезных ископаемых</w:t>
      </w:r>
      <w:r>
        <w:rPr>
          <w:b w:val="0"/>
          <w:bCs w:val="0"/>
          <w:sz w:val="28"/>
          <w:szCs w:val="28"/>
        </w:rPr>
        <w:t xml:space="preserve">, разведке и добыче полезных ископаемых</w:t>
      </w:r>
      <w:r>
        <w:rPr>
          <w:b w:val="0"/>
          <w:bCs w:val="0"/>
          <w:sz w:val="28"/>
          <w:szCs w:val="28"/>
        </w:rPr>
        <w:t xml:space="preserve"> в соответствии с лицензией на пользование недрами</w:t>
      </w:r>
      <w:r>
        <w:rPr>
          <w:b w:val="0"/>
          <w:bCs w:val="0"/>
          <w:sz w:val="28"/>
          <w:szCs w:val="28"/>
        </w:rPr>
        <w:t xml:space="preserve">, выявленных </w:t>
      </w:r>
      <w:r>
        <w:rPr>
          <w:b w:val="0"/>
          <w:bCs w:val="0"/>
          <w:sz w:val="28"/>
          <w:szCs w:val="28"/>
        </w:rPr>
        <w:t xml:space="preserve">по результатам контрольных (надзорных) мероприятий без взаимодействия с контролируемым л</w:t>
      </w:r>
      <w:bookmarkStart w:id="0" w:name="_GoBack"/>
      <w:r>
        <w:rPr>
          <w:b w:val="0"/>
          <w:bCs w:val="0"/>
        </w:rPr>
      </w:r>
      <w:bookmarkEnd w:id="0"/>
      <w:r>
        <w:rPr>
          <w:b w:val="0"/>
          <w:bCs w:val="0"/>
          <w:sz w:val="28"/>
          <w:szCs w:val="28"/>
        </w:rPr>
        <w:t xml:space="preserve">ицом, </w:t>
      </w:r>
      <w:r>
        <w:rPr>
          <w:b w:val="0"/>
          <w:bCs w:val="0"/>
          <w:sz w:val="28"/>
          <w:szCs w:val="28"/>
        </w:rPr>
        <w:t xml:space="preserve">в  том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числе</w:t>
      </w:r>
      <w:r>
        <w:rPr>
          <w:b w:val="0"/>
          <w:bCs w:val="0"/>
          <w:sz w:val="28"/>
          <w:szCs w:val="28"/>
        </w:rPr>
        <w:t xml:space="preserve"> при использовании средств дистанционного контроля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lang w:val="en-US"/>
        </w:rPr>
        <w:t xml:space="preserve"> </w:t>
      </w:r>
      <w:r>
        <w:rPr>
          <w:b w:val="0"/>
          <w:bCs w:val="0"/>
          <w:sz w:val="28"/>
          <w:szCs w:val="28"/>
        </w:rPr>
        <w:t xml:space="preserve">Выявление по результатам наблюдения за соблюдением обязательных требований (мониторинг безопасности)</w:t>
      </w:r>
      <w:r>
        <w:rPr>
          <w:b w:val="0"/>
          <w:bCs w:val="0"/>
          <w:sz w:val="28"/>
          <w:szCs w:val="28"/>
        </w:rPr>
        <w:t xml:space="preserve"> сведений о не поступлении от контролируемого лица в министерство природных ресурсов и экологии Новосибирской области на согласование </w:t>
      </w:r>
      <w:r>
        <w:rPr>
          <w:b w:val="0"/>
          <w:bCs w:val="0"/>
          <w:sz w:val="28"/>
          <w:szCs w:val="28"/>
        </w:rPr>
        <w:t xml:space="preserve">технического проекта </w:t>
      </w:r>
      <w:r>
        <w:rPr>
          <w:b w:val="0"/>
          <w:bCs w:val="0"/>
          <w:sz w:val="28"/>
          <w:szCs w:val="28"/>
        </w:rPr>
        <w:t xml:space="preserve">ликвидации и (или) консервации горных выработок, буровых скважин и иных сооружений, связанных с пользованием недр, подлежащих ликвидации и (или) консервации, на участке недр местного значения, за 15 рабочих дней до даты</w:t>
      </w:r>
      <w:r>
        <w:rPr>
          <w:b w:val="0"/>
          <w:bCs w:val="0"/>
          <w:sz w:val="28"/>
          <w:szCs w:val="28"/>
        </w:rPr>
        <w:t xml:space="preserve"> окончания срока действия лицензии на пользование недрами.</w:t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__________».</w:t>
      </w:r>
      <w:r>
        <w:rPr>
          <w:rFonts w:eastAsia="Calibri"/>
          <w:sz w:val="28"/>
          <w:szCs w:val="28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="Calibri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9"/>
    <w:uiPriority w:val="99"/>
  </w:style>
  <w:style w:type="character" w:styleId="45">
    <w:name w:val="Footer Char"/>
    <w:basedOn w:val="654"/>
    <w:link w:val="661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1"/>
    <w:uiPriority w:val="99"/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5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59">
    <w:name w:val="Header"/>
    <w:basedOn w:val="653"/>
    <w:link w:val="6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"/>
    <w:basedOn w:val="654"/>
    <w:link w:val="6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1">
    <w:name w:val="Footer"/>
    <w:basedOn w:val="653"/>
    <w:link w:val="6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2" w:customStyle="1">
    <w:name w:val="Нижний колонтитул Знак"/>
    <w:basedOn w:val="654"/>
    <w:link w:val="66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3">
    <w:name w:val="Balloon Text"/>
    <w:basedOn w:val="653"/>
    <w:link w:val="66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4" w:customStyle="1">
    <w:name w:val="Текст выноски Знак"/>
    <w:basedOn w:val="654"/>
    <w:link w:val="66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665">
    <w:name w:val="annotation reference"/>
    <w:basedOn w:val="654"/>
    <w:uiPriority w:val="99"/>
    <w:semiHidden/>
    <w:unhideWhenUsed/>
    <w:rPr>
      <w:sz w:val="16"/>
      <w:szCs w:val="16"/>
    </w:rPr>
  </w:style>
  <w:style w:type="paragraph" w:styleId="666">
    <w:name w:val="annotation text"/>
    <w:basedOn w:val="653"/>
    <w:link w:val="667"/>
    <w:uiPriority w:val="99"/>
    <w:semiHidden/>
    <w:unhideWhenUsed/>
    <w:rPr>
      <w:sz w:val="20"/>
      <w:szCs w:val="20"/>
    </w:rPr>
  </w:style>
  <w:style w:type="character" w:styleId="667" w:customStyle="1">
    <w:name w:val="Текст примечания Знак"/>
    <w:basedOn w:val="654"/>
    <w:link w:val="66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8">
    <w:name w:val="annotation subject"/>
    <w:basedOn w:val="666"/>
    <w:next w:val="666"/>
    <w:link w:val="669"/>
    <w:uiPriority w:val="99"/>
    <w:semiHidden/>
    <w:unhideWhenUsed/>
    <w:rPr>
      <w:b/>
      <w:bCs/>
    </w:rPr>
  </w:style>
  <w:style w:type="character" w:styleId="669" w:customStyle="1">
    <w:name w:val="Тема примечания Знак"/>
    <w:basedOn w:val="667"/>
    <w:link w:val="66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670" w:customStyle="1">
    <w:name w:val="no-indent"/>
    <w:basedOn w:val="653"/>
    <w:pPr>
      <w:spacing w:before="100" w:beforeAutospacing="1" w:after="100" w:afterAutospacing="1"/>
    </w:pPr>
  </w:style>
  <w:style w:type="paragraph" w:styleId="671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Бобровский Олег Борисович</dc:creator>
  <cp:keywords/>
  <dc:description/>
  <cp:revision>9</cp:revision>
  <dcterms:created xsi:type="dcterms:W3CDTF">2023-04-26T10:12:00Z</dcterms:created>
  <dcterms:modified xsi:type="dcterms:W3CDTF">2024-07-26T02:43:15Z</dcterms:modified>
</cp:coreProperties>
</file>