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04" w:rsidRDefault="002362C0">
      <w:pPr>
        <w:widowControl w:val="0"/>
        <w:jc w:val="right"/>
        <w:outlineLvl w:val="1"/>
      </w:pPr>
      <w:r>
        <w:t xml:space="preserve">Приложение № 2 </w:t>
      </w:r>
    </w:p>
    <w:p w:rsidR="00FF4204" w:rsidRDefault="002362C0">
      <w:pPr>
        <w:widowControl w:val="0"/>
        <w:jc w:val="right"/>
        <w:outlineLvl w:val="1"/>
      </w:pPr>
      <w:bookmarkStart w:id="0" w:name="undefined"/>
      <w:bookmarkEnd w:id="0"/>
      <w:r>
        <w:t xml:space="preserve">к приказу департамента </w:t>
      </w:r>
    </w:p>
    <w:p w:rsidR="00FF4204" w:rsidRDefault="002362C0">
      <w:pPr>
        <w:widowControl w:val="0"/>
        <w:jc w:val="right"/>
        <w:outlineLvl w:val="1"/>
      </w:pPr>
      <w:r>
        <w:t xml:space="preserve">имущества и земельных </w:t>
      </w:r>
    </w:p>
    <w:p w:rsidR="00FF4204" w:rsidRDefault="002362C0">
      <w:pPr>
        <w:widowControl w:val="0"/>
        <w:jc w:val="right"/>
        <w:outlineLvl w:val="1"/>
      </w:pPr>
      <w:r>
        <w:t>отношений Новосибирской области</w:t>
      </w:r>
    </w:p>
    <w:p w:rsidR="00FF4204" w:rsidRDefault="002362C0">
      <w:pPr>
        <w:widowControl w:val="0"/>
        <w:jc w:val="right"/>
        <w:outlineLvl w:val="1"/>
      </w:pPr>
      <w:r>
        <w:t>от__________№___________</w:t>
      </w:r>
    </w:p>
    <w:p w:rsidR="00FF4204" w:rsidRDefault="00FF4204">
      <w:pPr>
        <w:widowControl w:val="0"/>
        <w:outlineLvl w:val="1"/>
      </w:pPr>
    </w:p>
    <w:p w:rsidR="00FF4204" w:rsidRDefault="002362C0">
      <w:pPr>
        <w:widowControl w:val="0"/>
        <w:jc w:val="right"/>
        <w:outlineLvl w:val="1"/>
      </w:pPr>
      <w:r>
        <w:t>Приложение № 2</w:t>
      </w:r>
    </w:p>
    <w:p w:rsidR="00FF4204" w:rsidRDefault="002362C0">
      <w:pPr>
        <w:widowControl w:val="0"/>
        <w:jc w:val="right"/>
      </w:pPr>
      <w:r>
        <w:t>к Порядку осуществления</w:t>
      </w:r>
    </w:p>
    <w:p w:rsidR="00FF4204" w:rsidRDefault="002362C0">
      <w:pPr>
        <w:widowControl w:val="0"/>
        <w:jc w:val="right"/>
      </w:pPr>
      <w:r>
        <w:t xml:space="preserve">внутреннего финансового аудита </w:t>
      </w:r>
    </w:p>
    <w:p w:rsidR="00FF4204" w:rsidRDefault="002362C0">
      <w:pPr>
        <w:widowControl w:val="0"/>
        <w:jc w:val="right"/>
      </w:pPr>
      <w:r>
        <w:t xml:space="preserve">в департаменте имущества и земельных </w:t>
      </w:r>
    </w:p>
    <w:p w:rsidR="00FF4204" w:rsidRDefault="002362C0">
      <w:pPr>
        <w:widowControl w:val="0"/>
        <w:jc w:val="right"/>
      </w:pPr>
      <w:r>
        <w:t>отношений Новосибирской области</w:t>
      </w:r>
    </w:p>
    <w:p w:rsidR="00FF4204" w:rsidRDefault="00FF4204"/>
    <w:p w:rsidR="00FF4204" w:rsidRDefault="00FF4204">
      <w:pPr>
        <w:jc w:val="center"/>
        <w:rPr>
          <w:color w:val="000000"/>
          <w:sz w:val="20"/>
          <w:szCs w:val="20"/>
        </w:rPr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0"/>
      </w:tblGrid>
      <w:tr w:rsidR="00FF4204">
        <w:tc>
          <w:tcPr>
            <w:tcW w:w="9781" w:type="dxa"/>
          </w:tcPr>
          <w:p w:rsidR="00FF4204" w:rsidRDefault="002362C0">
            <w:pPr>
              <w:pStyle w:val="ConsPlusNormal"/>
              <w:contextualSpacing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  <w:lang w:eastAsia="en-US"/>
              </w:rPr>
              <w:t>Годовая отчетность</w:t>
            </w:r>
          </w:p>
          <w:p w:rsidR="00FF4204" w:rsidRDefault="002362C0">
            <w:pPr>
              <w:pStyle w:val="ConsPlusNormal"/>
              <w:contextualSpacing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  <w:lang w:eastAsia="en-US"/>
              </w:rPr>
              <w:t xml:space="preserve">о результатах деятельности субъекта внутреннего </w:t>
            </w:r>
            <w:r>
              <w:rPr>
                <w:b/>
                <w:iCs/>
              </w:rPr>
              <w:t>финансового аудита департамента имущества и земельных отношений Новосибирской области за 20__ год и период до срока предоставления консолидированной (индив</w:t>
            </w:r>
            <w:r>
              <w:rPr>
                <w:b/>
                <w:iCs/>
              </w:rPr>
              <w:t xml:space="preserve">идуальной) годовой бюджетной отчетности за 20__год </w:t>
            </w:r>
          </w:p>
          <w:p w:rsidR="00FF4204" w:rsidRDefault="002362C0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департамента имущества и земельных отношений Новосибирской области</w:t>
            </w:r>
          </w:p>
        </w:tc>
      </w:tr>
      <w:tr w:rsidR="00FF4204">
        <w:tc>
          <w:tcPr>
            <w:tcW w:w="9781" w:type="dxa"/>
          </w:tcPr>
          <w:p w:rsidR="00FF4204" w:rsidRDefault="002362C0">
            <w:pPr>
              <w:spacing w:before="283"/>
            </w:pPr>
            <w:r>
              <w:t>1. Информация о выполнении плана проведения аудиторских мероприятий: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невыполнения плана проведения аудиторских мероприятий </w:t>
            </w:r>
            <w:r>
              <w:rPr>
                <w:sz w:val="20"/>
                <w:szCs w:val="20"/>
              </w:rPr>
              <w:noBreakHyphen/>
              <w:t> </w:t>
            </w:r>
            <w:r>
              <w:rPr>
                <w:sz w:val="20"/>
                <w:szCs w:val="20"/>
              </w:rPr>
              <w:t>о причинах невыполнения)</w:t>
            </w:r>
          </w:p>
          <w:p w:rsidR="00FF4204" w:rsidRDefault="002362C0">
            <w:pPr>
              <w:contextualSpacing/>
            </w:pPr>
            <w:r>
              <w:t xml:space="preserve">2. Информация о количестве и </w:t>
            </w:r>
            <w:proofErr w:type="gramStart"/>
            <w:r>
              <w:t>темах</w:t>
            </w:r>
            <w:proofErr w:type="gramEnd"/>
            <w:r>
              <w:t xml:space="preserve"> проведенных внеплановых аудиторских мероприятий: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  <w:p w:rsidR="00FF4204" w:rsidRDefault="002362C0">
            <w:pPr>
              <w:contextualSpacing/>
            </w:pPr>
            <w:r>
              <w:t>3. Информация о степени надежности внутреннего финансового контроля:</w:t>
            </w:r>
          </w:p>
          <w:p w:rsidR="00FF4204" w:rsidRDefault="00FF4204"/>
          <w:p w:rsidR="00FF4204" w:rsidRDefault="00FF4204">
            <w:pPr>
              <w:pBdr>
                <w:top w:val="single" w:sz="4" w:space="1" w:color="000000"/>
              </w:pBdr>
              <w:jc w:val="both"/>
            </w:pPr>
          </w:p>
          <w:p w:rsidR="00FF4204" w:rsidRDefault="002362C0">
            <w:pPr>
              <w:spacing w:after="283"/>
              <w:jc w:val="both"/>
            </w:pPr>
            <w:r>
              <w:t>4. Информация о достоверности (недостоверности) сформированно</w:t>
            </w:r>
            <w:r>
              <w:t>й бюджетной отчетности главного администратора (администратора) и соответствии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</w:t>
            </w:r>
            <w:r>
              <w:t>кой Федерации, а также документам учетной политики (о наличии фактов и (или) признаков, влияющих на достоверность бюджетной отчетности и порядок ведения бюджетного учета):</w:t>
            </w:r>
          </w:p>
          <w:p w:rsidR="00FF4204" w:rsidRDefault="00FF4204">
            <w:pPr>
              <w:pBdr>
                <w:top w:val="single" w:sz="4" w:space="1" w:color="000000"/>
              </w:pBdr>
              <w:contextualSpacing/>
            </w:pPr>
          </w:p>
          <w:p w:rsidR="00FF4204" w:rsidRDefault="002362C0">
            <w:pPr>
              <w:contextualSpacing/>
            </w:pPr>
            <w:r>
              <w:t>5. Информация о качестве финансового менеджмента: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</w:pPr>
            <w:r>
              <w:rPr>
                <w:sz w:val="20"/>
                <w:szCs w:val="20"/>
              </w:rPr>
              <w:t>(включая информацию о достижении</w:t>
            </w:r>
            <w:r>
              <w:rPr>
                <w:sz w:val="20"/>
                <w:szCs w:val="20"/>
              </w:rPr>
              <w:t xml:space="preserve"> целевых значений показателей качества финансового менеджмента)</w:t>
            </w:r>
          </w:p>
          <w:p w:rsidR="00FF4204" w:rsidRDefault="002362C0">
            <w:pPr>
              <w:contextualSpacing/>
              <w:jc w:val="both"/>
            </w:pPr>
            <w:r>
              <w:lastRenderedPageBreak/>
              <w:t>6. Информация о наиболее значимых нарушениях и (или) недостатках и принятых мерах по их устранению: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</w:pPr>
            <w:r>
              <w:rPr>
                <w:sz w:val="20"/>
                <w:szCs w:val="20"/>
              </w:rPr>
              <w:t>(при наличии)</w:t>
            </w:r>
          </w:p>
          <w:p w:rsidR="00FF4204" w:rsidRDefault="002362C0">
            <w:pPr>
              <w:contextualSpacing/>
              <w:jc w:val="both"/>
            </w:pPr>
            <w:r>
              <w:t>7. Информация о наиболее значимых бюджетных рисках, включая информацию об их причинах:</w:t>
            </w:r>
          </w:p>
          <w:p w:rsidR="00FF4204" w:rsidRDefault="00FF4204">
            <w:pPr>
              <w:contextualSpacing/>
            </w:pPr>
          </w:p>
          <w:p w:rsidR="00FF4204" w:rsidRDefault="00FF4204">
            <w:pPr>
              <w:pBdr>
                <w:top w:val="single" w:sz="4" w:space="1" w:color="000000"/>
              </w:pBdr>
              <w:contextualSpacing/>
              <w:jc w:val="both"/>
            </w:pPr>
          </w:p>
          <w:p w:rsidR="00FF4204" w:rsidRDefault="002362C0">
            <w:pPr>
              <w:contextualSpacing/>
              <w:jc w:val="both"/>
            </w:pPr>
            <w:r>
              <w:t>8. Информация о наиболее значимых принятых (необходимых к принятию) мерах по минимизации (устранению) бюджетных рисков:</w:t>
            </w:r>
          </w:p>
          <w:p w:rsidR="00FF4204" w:rsidRDefault="00FF4204">
            <w:pPr>
              <w:contextualSpacing/>
            </w:pPr>
          </w:p>
          <w:p w:rsidR="00FF4204" w:rsidRDefault="00FF4204">
            <w:pPr>
              <w:pBdr>
                <w:top w:val="single" w:sz="4" w:space="1" w:color="000000"/>
              </w:pBdr>
              <w:contextualSpacing/>
              <w:jc w:val="both"/>
            </w:pPr>
          </w:p>
          <w:p w:rsidR="00FF4204" w:rsidRDefault="002362C0">
            <w:pPr>
              <w:contextualSpacing/>
              <w:jc w:val="both"/>
            </w:pPr>
            <w:r>
              <w:t>9. Информация о примерах (лучших практиках) о</w:t>
            </w:r>
            <w:r>
              <w:t>рганизации (обеспечения выполнения), выполнения бюджетных процедур и (или) операций (действий) по выполнению бюджетных процедур: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  <w:p w:rsidR="00FF4204" w:rsidRDefault="002362C0">
            <w:pPr>
              <w:contextualSpacing/>
              <w:jc w:val="both"/>
            </w:pPr>
            <w:r>
              <w:t>10. Информация о результатах мониторинга реализации мер по минимизации (устранению) бюджетных рисков:</w:t>
            </w:r>
          </w:p>
          <w:p w:rsidR="00FF4204" w:rsidRDefault="00FF4204">
            <w:pPr>
              <w:contextualSpacing/>
            </w:pPr>
          </w:p>
          <w:p w:rsidR="00FF4204" w:rsidRDefault="00FF4204">
            <w:pPr>
              <w:pBdr>
                <w:top w:val="single" w:sz="4" w:space="1" w:color="000000"/>
              </w:pBdr>
              <w:contextualSpacing/>
              <w:jc w:val="both"/>
            </w:pPr>
          </w:p>
          <w:p w:rsidR="00FF4204" w:rsidRDefault="002362C0">
            <w:pPr>
              <w:keepNext/>
              <w:contextualSpacing/>
              <w:jc w:val="both"/>
            </w:pPr>
            <w:r>
              <w:t>11. Инфо</w:t>
            </w:r>
            <w:r>
              <w:t>рмация об осуществлении консультирования субъектов бюджетных процедур:</w:t>
            </w:r>
          </w:p>
          <w:p w:rsidR="00FF4204" w:rsidRDefault="00FF4204">
            <w:pPr>
              <w:contextualSpacing/>
            </w:pPr>
          </w:p>
          <w:p w:rsidR="00FF4204" w:rsidRDefault="00FF4204">
            <w:pPr>
              <w:pBdr>
                <w:top w:val="single" w:sz="4" w:space="1" w:color="000000"/>
              </w:pBdr>
              <w:contextualSpacing/>
              <w:jc w:val="both"/>
            </w:pPr>
          </w:p>
          <w:p w:rsidR="00FF4204" w:rsidRDefault="002362C0">
            <w:pPr>
              <w:contextualSpacing/>
              <w:jc w:val="both"/>
            </w:pPr>
            <w:r>
              <w:t>12. События, оказавшие существенное влияние на организацию и осуществление внутреннего финансового аудита в департаменте имущества и земельных отношений Новосибирской области (далее -</w:t>
            </w:r>
            <w:r>
              <w:rPr>
                <w:lang w:val="en-US"/>
              </w:rPr>
              <w:t> </w:t>
            </w:r>
            <w:r>
              <w:t>департамент), а также на деятельность субъекта внутреннего финансового аудита департамента: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spacing w:after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  <w:p w:rsidR="00FF4204" w:rsidRDefault="002362C0">
            <w:pPr>
              <w:contextualSpacing/>
              <w:jc w:val="both"/>
            </w:pPr>
            <w:r>
              <w:t>13. Сведения о субъекте внутреннего финансового аудита департамента:</w:t>
            </w:r>
          </w:p>
          <w:p w:rsidR="00FF4204" w:rsidRDefault="00FF4204">
            <w:pPr>
              <w:contextualSpacing/>
            </w:pPr>
          </w:p>
          <w:p w:rsidR="00FF4204" w:rsidRDefault="002362C0">
            <w:pPr>
              <w:pBdr>
                <w:top w:val="single" w:sz="4" w:space="1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 его подчиненности, штатной и фактической численности)</w:t>
            </w:r>
          </w:p>
          <w:p w:rsidR="00FF4204" w:rsidRDefault="00FF4204">
            <w:pPr>
              <w:contextualSpacing/>
            </w:pPr>
          </w:p>
          <w:p w:rsidR="00FF4204" w:rsidRDefault="00FF4204">
            <w:pPr>
              <w:contextualSpacing/>
            </w:pPr>
            <w:bookmarkStart w:id="1" w:name="_GoBack"/>
            <w:bookmarkEnd w:id="1"/>
          </w:p>
          <w:p w:rsidR="00FF4204" w:rsidRDefault="002362C0">
            <w:pPr>
              <w:contextualSpacing/>
            </w:pPr>
            <w:r>
              <w:t>Субъект внутреннего финансового аудита департамента</w:t>
            </w:r>
            <w:r>
              <w:br/>
              <w:t>(уполномоченное должностное лицо)</w:t>
            </w:r>
          </w:p>
          <w:tbl>
            <w:tblPr>
              <w:tblStyle w:val="af5"/>
              <w:tblW w:w="99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139"/>
              <w:gridCol w:w="170"/>
              <w:gridCol w:w="1418"/>
              <w:gridCol w:w="170"/>
              <w:gridCol w:w="4082"/>
            </w:tblGrid>
            <w:tr w:rsidR="00FF4204">
              <w:tc>
                <w:tcPr>
                  <w:tcW w:w="4139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  <w:jc w:val="center"/>
                  </w:pPr>
                </w:p>
              </w:tc>
              <w:tc>
                <w:tcPr>
                  <w:tcW w:w="170" w:type="dxa"/>
                  <w:vAlign w:val="bottom"/>
                </w:tcPr>
                <w:p w:rsidR="00FF4204" w:rsidRDefault="00FF4204">
                  <w:pPr>
                    <w:contextualSpacing/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  <w:jc w:val="center"/>
                  </w:pPr>
                </w:p>
              </w:tc>
              <w:tc>
                <w:tcPr>
                  <w:tcW w:w="170" w:type="dxa"/>
                  <w:vAlign w:val="bottom"/>
                </w:tcPr>
                <w:p w:rsidR="00FF4204" w:rsidRDefault="00FF4204">
                  <w:pPr>
                    <w:contextualSpacing/>
                  </w:pPr>
                </w:p>
              </w:tc>
              <w:tc>
                <w:tcPr>
                  <w:tcW w:w="4082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  <w:jc w:val="center"/>
                  </w:pPr>
                </w:p>
              </w:tc>
            </w:tr>
            <w:tr w:rsidR="00FF4204">
              <w:tc>
                <w:tcPr>
                  <w:tcW w:w="4139" w:type="dxa"/>
                  <w:tcBorders>
                    <w:top w:val="single" w:sz="4" w:space="0" w:color="auto"/>
                  </w:tcBorders>
                </w:tcPr>
                <w:p w:rsidR="00FF4204" w:rsidRDefault="002362C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170" w:type="dxa"/>
                </w:tcPr>
                <w:p w:rsidR="00FF4204" w:rsidRDefault="00FF4204">
                  <w:pPr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FF4204" w:rsidRDefault="002362C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70" w:type="dxa"/>
                </w:tcPr>
                <w:p w:rsidR="00FF4204" w:rsidRDefault="00FF4204">
                  <w:pPr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2" w:type="dxa"/>
                  <w:tcBorders>
                    <w:top w:val="single" w:sz="4" w:space="0" w:color="auto"/>
                  </w:tcBorders>
                </w:tcPr>
                <w:p w:rsidR="00FF4204" w:rsidRDefault="002362C0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(фамилия, имя, отчество</w:t>
                  </w:r>
                  <w:r>
                    <w:rPr>
                      <w:sz w:val="20"/>
                      <w:szCs w:val="20"/>
                    </w:rPr>
                    <w:br/>
                    <w:t>(при наличии)</w:t>
                  </w:r>
                </w:p>
              </w:tc>
            </w:tr>
          </w:tbl>
          <w:p w:rsidR="00FF4204" w:rsidRDefault="00FF4204">
            <w:pPr>
              <w:contextualSpacing/>
            </w:pPr>
          </w:p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98"/>
              <w:gridCol w:w="397"/>
              <w:gridCol w:w="255"/>
              <w:gridCol w:w="1418"/>
              <w:gridCol w:w="397"/>
              <w:gridCol w:w="397"/>
              <w:gridCol w:w="986"/>
            </w:tblGrid>
            <w:tr w:rsidR="00FF4204">
              <w:tc>
                <w:tcPr>
                  <w:tcW w:w="198" w:type="dxa"/>
                  <w:vAlign w:val="bottom"/>
                </w:tcPr>
                <w:p w:rsidR="00FF4204" w:rsidRDefault="002362C0">
                  <w:pPr>
                    <w:contextualSpacing/>
                    <w:jc w:val="right"/>
                  </w:pPr>
                  <w:r>
                    <w:t>«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  <w:jc w:val="center"/>
                  </w:pPr>
                </w:p>
              </w:tc>
              <w:tc>
                <w:tcPr>
                  <w:tcW w:w="255" w:type="dxa"/>
                  <w:vAlign w:val="bottom"/>
                </w:tcPr>
                <w:p w:rsidR="00FF4204" w:rsidRDefault="002362C0">
                  <w:pPr>
                    <w:contextualSpacing/>
                  </w:pPr>
                  <w:r>
                    <w:t>»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  <w:jc w:val="center"/>
                  </w:pPr>
                </w:p>
              </w:tc>
              <w:tc>
                <w:tcPr>
                  <w:tcW w:w="397" w:type="dxa"/>
                  <w:vAlign w:val="bottom"/>
                </w:tcPr>
                <w:p w:rsidR="00FF4204" w:rsidRDefault="002362C0">
                  <w:pPr>
                    <w:contextualSpacing/>
                    <w:jc w:val="right"/>
                  </w:pPr>
                  <w:r>
                    <w:t>20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vAlign w:val="bottom"/>
                </w:tcPr>
                <w:p w:rsidR="00FF4204" w:rsidRDefault="00FF4204">
                  <w:pPr>
                    <w:contextualSpacing/>
                  </w:pPr>
                </w:p>
              </w:tc>
              <w:tc>
                <w:tcPr>
                  <w:tcW w:w="986" w:type="dxa"/>
                  <w:vAlign w:val="bottom"/>
                </w:tcPr>
                <w:p w:rsidR="00FF4204" w:rsidRDefault="002362C0">
                  <w:pPr>
                    <w:ind w:left="112"/>
                    <w:contextualSpacing/>
                  </w:pPr>
                  <w:r>
                    <w:t>год</w:t>
                  </w:r>
                </w:p>
              </w:tc>
            </w:tr>
          </w:tbl>
          <w:p w:rsidR="00FF4204" w:rsidRDefault="00FF4204">
            <w:pPr>
              <w:pStyle w:val="ConsPlusNormal"/>
              <w:contextualSpacing/>
              <w:rPr>
                <w:rFonts w:eastAsia="Calibri"/>
                <w:b/>
                <w:iCs/>
              </w:rPr>
            </w:pPr>
          </w:p>
        </w:tc>
      </w:tr>
    </w:tbl>
    <w:p w:rsidR="00FF4204" w:rsidRDefault="00FF4204"/>
    <w:sectPr w:rsidR="00FF4204">
      <w:headerReference w:type="default" r:id="rId6"/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C0" w:rsidRDefault="002362C0">
      <w:r>
        <w:separator/>
      </w:r>
    </w:p>
  </w:endnote>
  <w:endnote w:type="continuationSeparator" w:id="0">
    <w:p w:rsidR="002362C0" w:rsidRDefault="0023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C0" w:rsidRDefault="002362C0">
      <w:r>
        <w:separator/>
      </w:r>
    </w:p>
  </w:footnote>
  <w:footnote w:type="continuationSeparator" w:id="0">
    <w:p w:rsidR="002362C0" w:rsidRDefault="0023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204" w:rsidRPr="00B16AFF" w:rsidRDefault="002362C0">
    <w:pPr>
      <w:pStyle w:val="af8"/>
      <w:jc w:val="center"/>
      <w:rPr>
        <w:sz w:val="20"/>
        <w:szCs w:val="20"/>
      </w:rPr>
    </w:pPr>
    <w:r w:rsidRPr="00B16AFF">
      <w:fldChar w:fldCharType="begin"/>
    </w:r>
    <w:r w:rsidRPr="00B16AFF">
      <w:instrText>PAGE \* MERGEFORMAT</w:instrText>
    </w:r>
    <w:r w:rsidRPr="00B16AFF">
      <w:fldChar w:fldCharType="separate"/>
    </w:r>
    <w:r w:rsidR="00B16AFF" w:rsidRPr="00B16AFF">
      <w:rPr>
        <w:noProof/>
        <w:sz w:val="20"/>
        <w:szCs w:val="20"/>
      </w:rPr>
      <w:t>2</w:t>
    </w:r>
    <w:r w:rsidRPr="00B16AFF">
      <w:rPr>
        <w:sz w:val="20"/>
        <w:szCs w:val="20"/>
      </w:rPr>
      <w:fldChar w:fldCharType="end"/>
    </w:r>
  </w:p>
  <w:p w:rsidR="00FF4204" w:rsidRDefault="00FF420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4"/>
    <w:rsid w:val="002362C0"/>
    <w:rsid w:val="00B16AF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78DB"/>
  <w15:docId w15:val="{C49AB08F-C8BF-4DA8-B564-053A49B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5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>NSO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Лидия Викторовна</dc:creator>
  <cp:keywords/>
  <dc:description/>
  <cp:lastModifiedBy>Тарасенко Лидия Викторовна</cp:lastModifiedBy>
  <cp:revision>8</cp:revision>
  <dcterms:created xsi:type="dcterms:W3CDTF">2024-02-15T06:48:00Z</dcterms:created>
  <dcterms:modified xsi:type="dcterms:W3CDTF">2024-02-20T08:50:00Z</dcterms:modified>
</cp:coreProperties>
</file>