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приказом министерства труда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социального развития</w:t>
      </w:r>
    </w:p>
    <w:p>
      <w:pPr>
        <w:pStyle w:val="Normal"/>
        <w:spacing w:lineRule="auto" w:line="240" w:before="0" w:after="0"/>
        <w:ind w:left="623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Новосибирской области</w:t>
      </w:r>
    </w:p>
    <w:p>
      <w:pPr>
        <w:pStyle w:val="Normal"/>
        <w:ind w:left="6379" w:hanging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от __________ № 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15"/>
        <w:ind w:left="284" w:hanging="0"/>
        <w:jc w:val="center"/>
        <w:rPr>
          <w:b/>
          <w:b/>
        </w:rPr>
      </w:pPr>
      <w:r>
        <w:rPr>
          <w:b/>
        </w:rPr>
        <w:t>осуществления контроля качества предоставления гражданам пожилого возраста и инвалидам, нуждающимся в уходе, социальных услуг по уходу, включенных в социальный пакет долговременного ухода</w:t>
      </w:r>
    </w:p>
    <w:p>
      <w:pPr>
        <w:pStyle w:val="15"/>
        <w:tabs>
          <w:tab w:val="clear" w:pos="708"/>
          <w:tab w:val="left" w:pos="4748" w:leader="none"/>
        </w:tabs>
        <w:ind w:hanging="0"/>
        <w:rPr>
          <w:rFonts w:eastAsia="Arial" w:eastAsiaTheme="minorEastAsia"/>
          <w:b/>
          <w:b/>
          <w:lang w:eastAsia="ru-RU"/>
        </w:rPr>
      </w:pPr>
      <w:r>
        <w:rPr>
          <w:rFonts w:eastAsia="Arial" w:eastAsiaTheme="minorEastAsia"/>
          <w:b/>
          <w:lang w:eastAsia="ru-RU"/>
        </w:rPr>
      </w:r>
    </w:p>
    <w:p>
      <w:pPr>
        <w:pStyle w:val="15"/>
        <w:tabs>
          <w:tab w:val="clear" w:pos="708"/>
          <w:tab w:val="left" w:pos="4748" w:leader="none"/>
        </w:tabs>
        <w:ind w:hanging="0"/>
        <w:jc w:val="center"/>
        <w:rPr>
          <w:b/>
          <w:b/>
        </w:rPr>
      </w:pPr>
      <w:r>
        <w:rPr>
          <w:b/>
          <w:lang w:val="en-US"/>
        </w:rPr>
        <w:t>I</w:t>
      </w:r>
      <w:r>
        <w:rPr>
          <w:b/>
        </w:rPr>
        <w:t>. Общие положения</w:t>
      </w:r>
    </w:p>
    <w:p>
      <w:pPr>
        <w:pStyle w:val="15"/>
        <w:tabs>
          <w:tab w:val="clear" w:pos="708"/>
          <w:tab w:val="left" w:pos="4748" w:leader="none"/>
        </w:tabs>
        <w:ind w:left="1080" w:hanging="0"/>
        <w:rPr>
          <w:b/>
          <w:b/>
        </w:rPr>
      </w:pPr>
      <w:r>
        <w:rPr>
          <w:b/>
        </w:rPr>
      </w:r>
    </w:p>
    <w:p>
      <w:pPr>
        <w:pStyle w:val="15"/>
        <w:tabs>
          <w:tab w:val="clear" w:pos="708"/>
          <w:tab w:val="left" w:pos="2045" w:leader="none"/>
        </w:tabs>
        <w:ind w:firstLine="709"/>
        <w:jc w:val="both"/>
        <w:rPr/>
      </w:pPr>
      <w:r>
        <w:rPr/>
        <w:t>1. Настоящий Порядок регулирует процедуру осуществления контроля качества предоставления социальных услуг гражданам пожилого возраста и инвалидам, нуждающимся в уходе, социальных услуг по уходу, включенных в социальный пакет долговременного ухода (далее – контроль качества, социальные услуги по уходу).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2. Понятия и термины, используемые в настоящем Порядке, применяются в значениях, определенных Федеральным законом от 28.12.2013 № 442-ФЗ «Об основах социального обслуживания граждан в Российской Федерации».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 xml:space="preserve">3. Под контролем качества в настоящем Порядке понимается система мероприятий, проводимых организациями социального обслуживания Новосибирской области, являющимися участниками системы долговременного ухода (далее – поставщики социальных услуг), территориальными координационными центрами (далее – ТКЦ), региональным координационным центром, созданным </w:t>
      </w:r>
      <w:r>
        <w:rPr>
          <w:bCs/>
          <w:color w:val="000000"/>
        </w:rPr>
        <w:t xml:space="preserve">на базе государственного автономного учреждения социального обслуживания Новосибирской области «Новосибирский областной геронтологический центр» (далее – РКЦ), </w:t>
      </w:r>
      <w:r>
        <w:rPr/>
        <w:t>министерством труда и социального развития Новосибирской области (далее – министерство) на постоянной основе в целях проверки результативности исполнения поставщиками социальных услуг договора о предоставлении социальных услуг и дополнения к индивидуальной программе предоставления социальных услуг (включая исполнение помощником по уходу своих должностных обязанностей).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4. Контроль качества проводится в следующих формах: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 xml:space="preserve">1) </w:t>
      </w:r>
      <w:r>
        <w:rPr>
          <w:rFonts w:eastAsia="Times New Roman" w:cs="Times New Roman"/>
          <w:sz w:val="28"/>
          <w:szCs w:val="28"/>
        </w:rPr>
        <w:t xml:space="preserve">документарные проверки, включающие в себя в том числе проверки сведений, содержащихся в </w:t>
      </w:r>
      <w:r>
        <w:rPr>
          <w:rFonts w:eastAsia="Times New Roman" w:cs="Times New Roman"/>
          <w:sz w:val="28"/>
          <w:szCs w:val="28"/>
        </w:rPr>
        <w:t>г</w:t>
      </w:r>
      <w:r>
        <w:rPr>
          <w:rFonts w:eastAsia="Times New Roman" w:cs="Times New Roman"/>
          <w:b w:val="false"/>
          <w:bCs w:val="false"/>
          <w:sz w:val="28"/>
          <w:szCs w:val="28"/>
        </w:rPr>
        <w:t>осударственной информационной систем</w:t>
      </w:r>
      <w:r>
        <w:rPr>
          <w:rFonts w:eastAsia="Times New Roman" w:cs="Times New Roman"/>
          <w:b w:val="false"/>
          <w:bCs w:val="false"/>
          <w:sz w:val="28"/>
          <w:szCs w:val="28"/>
        </w:rPr>
        <w:t>е</w:t>
      </w:r>
      <w:r>
        <w:rPr>
          <w:rFonts w:eastAsia="Times New Roman" w:cs="Times New Roman"/>
          <w:b w:val="false"/>
          <w:bCs w:val="false"/>
          <w:sz w:val="28"/>
          <w:szCs w:val="28"/>
        </w:rPr>
        <w:t xml:space="preserve"> Новосибирской области «Территориальная информационная система «Социальный портрет гражданина и Типизированное хранилище данных Новосибирской области»;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2) выездные проверки как по месту нахождения поставщика социальных услуг, так и по месту фактического предоставления гражданину социальных услуг по уходу.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5. Контроль качества осуществляется: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от поставщика социальных услуг - организаторами ухода;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от ТКЦ социальными координаторами;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от РКЦ социальными координаторами;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от министерства - специалистами управления организации социального обслуживания населения и реабилитации инвалидов.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6. Основными показателями, определяющими качество социальных услуг по уходу, являются: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1) своевременность и полнота предоставления социальных услуг по уходу с учетом их объема, периодичности и условий предоставления социальных услуг по уходу;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2) с</w:t>
      </w:r>
      <w:r>
        <w:rPr>
          <w:rFonts w:eastAsia="Times New Roman" w:cs="Times New Roman"/>
          <w:sz w:val="28"/>
          <w:szCs w:val="28"/>
        </w:rPr>
        <w:t>облюдение порядка оказания социальных услуг по уходу</w:t>
      </w:r>
      <w:r>
        <w:rPr/>
        <w:t>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 xml:space="preserve">3) </w:t>
      </w:r>
      <w:r>
        <w:rPr>
          <w:rFonts w:eastAsia="Times New Roman" w:cs="Times New Roman"/>
          <w:sz w:val="28"/>
          <w:szCs w:val="28"/>
        </w:rPr>
        <w:t>качественное</w:t>
      </w:r>
      <w:r>
        <w:rPr/>
        <w:t xml:space="preserve"> ведение документации по предоставлению социальных услуг по уходу.</w:t>
      </w:r>
    </w:p>
    <w:p>
      <w:pPr>
        <w:pStyle w:val="15"/>
        <w:tabs>
          <w:tab w:val="clear" w:pos="708"/>
          <w:tab w:val="left" w:pos="2232" w:leader="none"/>
        </w:tabs>
        <w:ind w:left="709" w:hanging="0"/>
        <w:jc w:val="center"/>
        <w:rPr>
          <w:b/>
          <w:b/>
        </w:rPr>
      </w:pPr>
      <w:r>
        <w:rPr>
          <w:b/>
        </w:rPr>
      </w:r>
    </w:p>
    <w:p>
      <w:pPr>
        <w:pStyle w:val="15"/>
        <w:tabs>
          <w:tab w:val="clear" w:pos="708"/>
          <w:tab w:val="left" w:pos="2232" w:leader="none"/>
        </w:tabs>
        <w:ind w:left="709" w:hanging="0"/>
        <w:jc w:val="center"/>
        <w:rPr>
          <w:b/>
          <w:b/>
          <w:bCs/>
        </w:rPr>
      </w:pPr>
      <w:r>
        <w:rPr>
          <w:b/>
          <w:lang w:val="en-US"/>
        </w:rPr>
        <w:t>II</w:t>
      </w:r>
      <w:r>
        <w:rPr>
          <w:b/>
        </w:rPr>
        <w:t xml:space="preserve">. Организация и периодичность осуществления контроля качества </w:t>
      </w:r>
    </w:p>
    <w:p>
      <w:pPr>
        <w:pStyle w:val="15"/>
        <w:tabs>
          <w:tab w:val="clear" w:pos="708"/>
          <w:tab w:val="left" w:pos="2232" w:leader="none"/>
        </w:tabs>
        <w:ind w:left="709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5"/>
        <w:tabs>
          <w:tab w:val="clear" w:pos="708"/>
          <w:tab w:val="left" w:pos="2121" w:leader="none"/>
        </w:tabs>
        <w:ind w:firstLine="709"/>
        <w:jc w:val="both"/>
        <w:rPr/>
      </w:pPr>
      <w:r>
        <w:rPr/>
        <w:t>7.</w:t>
      </w:r>
      <w:r>
        <w:rPr>
          <w:lang w:val="en-US"/>
        </w:rPr>
        <w:t> </w:t>
      </w:r>
      <w:r>
        <w:rPr/>
        <w:t>Организация контроля качества предоставления социальных услуг по уходу осуществляется посредством проведения следующих мероприятий:</w:t>
      </w:r>
    </w:p>
    <w:p>
      <w:pPr>
        <w:pStyle w:val="15"/>
        <w:tabs>
          <w:tab w:val="clear" w:pos="708"/>
          <w:tab w:val="left" w:pos="2121" w:leader="none"/>
        </w:tabs>
        <w:ind w:firstLine="709"/>
        <w:jc w:val="both"/>
        <w:rPr/>
      </w:pPr>
      <w:r>
        <w:rPr/>
        <w:t>1) анализ информации о предоставлении социальных услуг по уходу получателю социальных услуг по уходу на основании сведений, содержащихся в ведомственной информационной системе, в отчетах о результатах контроля качества предоставления социальных услуг по уходу;</w:t>
      </w:r>
    </w:p>
    <w:p>
      <w:pPr>
        <w:pStyle w:val="15"/>
        <w:tabs>
          <w:tab w:val="clear" w:pos="708"/>
          <w:tab w:val="left" w:pos="2052" w:leader="none"/>
        </w:tabs>
        <w:ind w:firstLine="709"/>
        <w:jc w:val="both"/>
        <w:rPr/>
      </w:pPr>
      <w:r>
        <w:rPr/>
        <w:t>2) оценка соответствия оказываемых социальных услуг по уходу единым стандартам социальных услуг по уходу, включаемым в социальный пакет долговременного ухода, посредством наблюдения и выборочного опроса граждан, их законных представителей, лиц из числа ближайшего окружения;</w:t>
      </w:r>
    </w:p>
    <w:p>
      <w:pPr>
        <w:pStyle w:val="15"/>
        <w:tabs>
          <w:tab w:val="clear" w:pos="708"/>
          <w:tab w:val="left" w:pos="2121" w:leader="none"/>
        </w:tabs>
        <w:ind w:firstLine="709"/>
        <w:jc w:val="both"/>
        <w:rPr/>
      </w:pPr>
      <w:r>
        <w:rPr/>
        <w:t>3) анализ документов, подтверждающих предоставление социальных услуг по уходу получателю социальных услуг по уходу:</w:t>
      </w:r>
    </w:p>
    <w:p>
      <w:pPr>
        <w:pStyle w:val="15"/>
        <w:ind w:firstLine="709"/>
        <w:jc w:val="both"/>
        <w:rPr/>
      </w:pPr>
      <w:r>
        <w:rPr/>
        <w:t>дополнения к индивидуальной программе предоставления социальных услуг (далее – дополнение к индивидуальной программе);</w:t>
      </w:r>
    </w:p>
    <w:p>
      <w:pPr>
        <w:pStyle w:val="15"/>
        <w:ind w:firstLine="709"/>
        <w:jc w:val="both"/>
        <w:rPr/>
      </w:pPr>
      <w:r>
        <w:rPr/>
        <w:t>договора о предоставлении социальных услуг;</w:t>
      </w:r>
    </w:p>
    <w:p>
      <w:pPr>
        <w:pStyle w:val="15"/>
        <w:ind w:firstLine="709"/>
        <w:jc w:val="both"/>
        <w:rPr/>
      </w:pPr>
      <w:r>
        <w:rPr/>
        <w:t>отчета о предоставлении социальных услуг по уходу;</w:t>
      </w:r>
    </w:p>
    <w:p>
      <w:pPr>
        <w:pStyle w:val="15"/>
        <w:ind w:firstLine="709"/>
        <w:jc w:val="both"/>
        <w:rPr/>
      </w:pPr>
      <w:r>
        <w:rPr/>
        <w:t>графика работы помощника по уходу;</w:t>
      </w:r>
    </w:p>
    <w:p>
      <w:pPr>
        <w:pStyle w:val="15"/>
        <w:ind w:firstLine="709"/>
        <w:jc w:val="both"/>
        <w:rPr/>
      </w:pPr>
      <w:r>
        <w:rPr/>
        <w:t>дневника ухода гражданина, нуждающегося в уходе;</w:t>
      </w:r>
    </w:p>
    <w:p>
      <w:pPr>
        <w:pStyle w:val="15"/>
        <w:ind w:firstLine="709"/>
        <w:jc w:val="both"/>
        <w:rPr/>
      </w:pPr>
      <w:r>
        <w:rPr/>
        <w:t>личного дела получателя социальных услуг по уходу;</w:t>
      </w:r>
    </w:p>
    <w:p>
      <w:pPr>
        <w:pStyle w:val="15"/>
        <w:tabs>
          <w:tab w:val="clear" w:pos="708"/>
          <w:tab w:val="left" w:pos="2672" w:leader="none"/>
        </w:tabs>
        <w:ind w:left="709" w:hanging="0"/>
        <w:jc w:val="both"/>
        <w:rPr/>
      </w:pPr>
      <w:r>
        <w:rPr/>
        <w:t>4) посещение получателя социальных услуг по уходу;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/>
      </w:pPr>
      <w:r>
        <w:rPr/>
        <w:t>5) подготовка отчета о результатах контроля качества предоставления социальных услуг по уходу.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>8. Мероприятия по контролю качества (плановый контроль качества) осуществляются в соответствии с утвержденным графиком осуществления контроля качества</w:t>
      </w:r>
      <w:r>
        <w:rPr/>
        <w:t xml:space="preserve"> предоставления социальных услуг по уходу </w:t>
      </w:r>
      <w:r>
        <w:rPr>
          <w:highlight w:val="white"/>
        </w:rPr>
        <w:t>(далее – график).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>9. График составляется ежеквартально по форме согласно приложению № 1 к настоящему Порядку.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>10. Мероприятия по контролю качества осуществляются: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 xml:space="preserve">1) по месту расположения поставщика социальных услуг, ТКЦ или РКЦ (в зависимости от этапа проведения контроля качества) путем </w:t>
      </w:r>
      <w:r>
        <w:rPr/>
        <w:t>проведения документарной проверки</w:t>
      </w:r>
      <w:r>
        <w:rPr>
          <w:highlight w:val="white"/>
        </w:rPr>
        <w:t>;</w:t>
      </w:r>
    </w:p>
    <w:p>
      <w:pPr>
        <w:pStyle w:val="15"/>
        <w:tabs>
          <w:tab w:val="clear" w:pos="708"/>
          <w:tab w:val="left" w:pos="2672" w:leader="none"/>
        </w:tabs>
        <w:ind w:firstLine="709"/>
        <w:jc w:val="both"/>
        <w:rPr>
          <w:highlight w:val="white"/>
        </w:rPr>
      </w:pPr>
      <w:r>
        <w:rPr>
          <w:highlight w:val="white"/>
        </w:rPr>
        <w:t>2) по месту жительства или фактического проживания получателя социальных услуг по уходу посредством проведения опроса, беседы, наблюдения, анализа документов его законных представителей или лиц из числа ближайшего окружения.</w:t>
      </w:r>
    </w:p>
    <w:p>
      <w:pPr>
        <w:pStyle w:val="15"/>
        <w:tabs>
          <w:tab w:val="clear" w:pos="708"/>
          <w:tab w:val="left" w:pos="2049" w:leader="none"/>
        </w:tabs>
        <w:ind w:firstLine="709"/>
        <w:jc w:val="both"/>
        <w:rPr/>
      </w:pPr>
      <w:r>
        <w:rPr/>
        <w:t xml:space="preserve">11. Плановый контроль качества осуществляемый в соответствии с графиками проводится в течение года </w:t>
      </w:r>
      <w:r>
        <w:rPr/>
        <w:t>по следующим направлениям</w:t>
      </w:r>
      <w:r>
        <w:rPr/>
        <w:t>:</w:t>
      </w:r>
    </w:p>
    <w:p>
      <w:pPr>
        <w:pStyle w:val="15"/>
        <w:tabs>
          <w:tab w:val="clear" w:pos="708"/>
          <w:tab w:val="left" w:pos="2753" w:leader="none"/>
        </w:tabs>
        <w:spacing w:beforeAutospacing="1" w:after="0"/>
        <w:ind w:firstLine="709"/>
        <w:contextualSpacing/>
        <w:jc w:val="both"/>
        <w:rPr/>
      </w:pPr>
      <w:r>
        <w:rPr/>
        <w:t>1) поставщики социальных услуг осуществляют контроль качества 100 % от числа граждан, получающих социальные услуги по уходу, включенные в социальный пакет долговременного ухода;</w:t>
      </w:r>
    </w:p>
    <w:p>
      <w:pPr>
        <w:pStyle w:val="15"/>
        <w:tabs>
          <w:tab w:val="clear" w:pos="708"/>
          <w:tab w:val="left" w:pos="2753" w:leader="none"/>
        </w:tabs>
        <w:spacing w:beforeAutospacing="1" w:after="0"/>
        <w:ind w:firstLine="709"/>
        <w:contextualSpacing/>
        <w:jc w:val="both"/>
        <w:rPr/>
      </w:pPr>
      <w:r>
        <w:rPr/>
        <w:t>2) ТКЦ осуществляют контроль качества не менее 50 % от числа граждан, получающих социальные услуги по уходу, включенных в социальный пакет долговременного ухода;</w:t>
      </w:r>
    </w:p>
    <w:p>
      <w:pPr>
        <w:pStyle w:val="15"/>
        <w:tabs>
          <w:tab w:val="clear" w:pos="708"/>
          <w:tab w:val="left" w:pos="2753" w:leader="none"/>
        </w:tabs>
        <w:spacing w:beforeAutospacing="1" w:after="0"/>
        <w:ind w:firstLine="709"/>
        <w:contextualSpacing/>
        <w:jc w:val="both"/>
        <w:rPr/>
      </w:pPr>
      <w:r>
        <w:rPr/>
        <w:t>3) РКЦ осуществляет контроль качества не менее 10 % от числа граждан, получающих социальные услуги по уходу, включенных в социальный пакет долговременного ухода.</w:t>
      </w:r>
    </w:p>
    <w:p>
      <w:pPr>
        <w:pStyle w:val="15"/>
        <w:ind w:firstLine="709"/>
        <w:jc w:val="both"/>
        <w:rPr/>
      </w:pPr>
      <w:r>
        <w:rPr/>
        <w:t>При осуществлении контроля качества поставщиком социальных услуг и ТКЦ посещение получателя социальных услуг по уходу по месту жительства или месту проживания обязательно. При проведении контроля качества РКЦ допустимо проведение контроля качества не более 5% от общего числа получателей социальных услуг по уходу путем осуществления информационно-аналитической деятельности (документарная проверка).</w:t>
      </w:r>
    </w:p>
    <w:p>
      <w:pPr>
        <w:pStyle w:val="15"/>
        <w:tabs>
          <w:tab w:val="clear" w:pos="708"/>
          <w:tab w:val="left" w:pos="2753" w:leader="none"/>
        </w:tabs>
        <w:spacing w:beforeAutospacing="1" w:after="0"/>
        <w:ind w:firstLine="709"/>
        <w:contextualSpacing/>
        <w:jc w:val="both"/>
        <w:rPr/>
      </w:pPr>
      <w:r>
        <w:rPr/>
        <w:t xml:space="preserve">12. Министерство осуществляет контроль качества путем проведения выборочных документарных проверок сведений, содержащихся в ведомственной информационной системе, а также контроль качества предоставления социальных услуг по уходу в рамках выездных проверок. </w:t>
      </w:r>
      <w:r>
        <w:rPr>
          <w:highlight w:val="white"/>
        </w:rPr>
        <w:t xml:space="preserve">Посещение получателя социальных услуг по уходу </w:t>
      </w:r>
      <w:r>
        <w:rPr>
          <w:color w:val="000000" w:themeColor="text1"/>
          <w:highlight w:val="white"/>
        </w:rPr>
        <w:t xml:space="preserve">специалистами ТКЦ </w:t>
      </w:r>
      <w:r>
        <w:rPr>
          <w:highlight w:val="white"/>
        </w:rPr>
        <w:t>осуществляется в течение 2 рабочих дней со дня получения указанной информации.</w:t>
      </w:r>
    </w:p>
    <w:p>
      <w:pPr>
        <w:pStyle w:val="15"/>
        <w:ind w:firstLine="709"/>
        <w:jc w:val="both"/>
        <w:rPr/>
      </w:pPr>
      <w:r>
        <w:rPr/>
        <w:t>13. Специалисты ТКЦ, РКЦ и министерства при осуществлении контроля качества имеют право запрашивать и получать от поставщика социальных услуг документы и информацию, необходимые для осуществления контроля качества.</w:t>
      </w:r>
    </w:p>
    <w:p>
      <w:pPr>
        <w:pStyle w:val="15"/>
        <w:ind w:firstLine="709"/>
        <w:jc w:val="both"/>
        <w:rPr/>
      </w:pPr>
      <w:r>
        <w:rPr/>
        <w:t>14. Специалисты ТКЦ, РКЦ при осуществлении контроля качества обязаны:</w:t>
      </w:r>
    </w:p>
    <w:p>
      <w:pPr>
        <w:pStyle w:val="15"/>
        <w:ind w:firstLine="709"/>
        <w:jc w:val="both"/>
        <w:rPr/>
      </w:pPr>
      <w:r>
        <w:rPr/>
        <w:t>1) уведомлять поставщиков социальных услуг о проведении мероприятий по контролю качества путем направления по почте или иным доступным способом копии графика проведения мероприятий по контролю качества не позднее двух рабочих дней со дня его принятия;</w:t>
      </w:r>
    </w:p>
    <w:p>
      <w:pPr>
        <w:pStyle w:val="15"/>
        <w:ind w:firstLine="709"/>
        <w:jc w:val="both"/>
        <w:rPr/>
      </w:pPr>
      <w:r>
        <w:rPr/>
        <w:t>2) осуществлять контроль качества только во время исполнения служебных обязанностей;</w:t>
      </w:r>
    </w:p>
    <w:p>
      <w:pPr>
        <w:pStyle w:val="15"/>
        <w:ind w:firstLine="709"/>
        <w:jc w:val="both"/>
        <w:rPr/>
      </w:pPr>
      <w:r>
        <w:rPr/>
        <w:t>3) не препятствовать руководителю, иному должностному лицу поставщика социальных услуг присутствовать при проведении мероприятий по контролю качества и давать разъяснения по вопросам, относящимся к проведению контроля качества;</w:t>
      </w:r>
    </w:p>
    <w:p>
      <w:pPr>
        <w:pStyle w:val="15"/>
        <w:ind w:firstLine="709"/>
        <w:jc w:val="both"/>
        <w:rPr/>
      </w:pPr>
      <w:r>
        <w:rPr/>
        <w:t>4) использовать сведения и документы, относящиеся исключительно к вопросу проведения контроля качества предоставления социальных услуг по уходу поставщиком социальных услуг.</w:t>
      </w:r>
    </w:p>
    <w:p>
      <w:pPr>
        <w:pStyle w:val="15"/>
        <w:ind w:firstLine="709"/>
        <w:jc w:val="both"/>
        <w:rPr/>
      </w:pPr>
      <w:r>
        <w:rPr/>
        <w:t>15. Руководитель, иные должностные лица поставщика социальных услуг имеют право присутствовать при проведении мероприятий по контролю качества и давать разъяснения по вопросам, относящимся к проведению контроля качества.</w:t>
      </w:r>
    </w:p>
    <w:p>
      <w:pPr>
        <w:pStyle w:val="15"/>
        <w:ind w:firstLine="709"/>
        <w:jc w:val="both"/>
        <w:rPr/>
      </w:pPr>
      <w:r>
        <w:rPr/>
        <w:t>16. Поставщик социальных услуг при проведении контроля качества обязан:</w:t>
      </w:r>
    </w:p>
    <w:p>
      <w:pPr>
        <w:pStyle w:val="15"/>
        <w:spacing w:before="0" w:after="0"/>
        <w:ind w:firstLine="709"/>
        <w:contextualSpacing/>
        <w:jc w:val="both"/>
        <w:rPr/>
      </w:pPr>
      <w:r>
        <w:rPr/>
        <w:t>1) предоставлять специалистам ТКЦ, РКЦ и министерства, осуществляющим контроль качества, информацию и документы, относящиеся к получателю социальных услуг по уходу и предоставляемым ему социальным услугам по уходу;</w:t>
      </w:r>
    </w:p>
    <w:p>
      <w:pPr>
        <w:pStyle w:val="15"/>
        <w:spacing w:beforeAutospacing="1" w:after="620"/>
        <w:ind w:firstLine="709"/>
        <w:contextualSpacing/>
        <w:jc w:val="both"/>
        <w:rPr/>
      </w:pPr>
      <w:r>
        <w:rPr/>
        <w:t>2) способствовать доступу специалистов ТКЦ, РКЦ и министерства, осуществляющих контроль качества, к получателю социальных услуг по уходу.</w:t>
      </w:r>
    </w:p>
    <w:p>
      <w:pPr>
        <w:pStyle w:val="15"/>
        <w:spacing w:beforeAutospacing="1" w:after="620"/>
        <w:ind w:firstLine="709"/>
        <w:contextualSpacing/>
        <w:jc w:val="both"/>
        <w:rPr/>
      </w:pPr>
      <w:r>
        <w:rPr/>
      </w:r>
    </w:p>
    <w:p>
      <w:pPr>
        <w:pStyle w:val="15"/>
        <w:tabs>
          <w:tab w:val="clear" w:pos="708"/>
          <w:tab w:val="left" w:pos="316" w:leader="none"/>
        </w:tabs>
        <w:ind w:hanging="0"/>
        <w:jc w:val="center"/>
        <w:rPr>
          <w:b/>
          <w:b/>
          <w:bCs/>
        </w:rPr>
      </w:pPr>
      <w:r>
        <w:rPr>
          <w:b/>
          <w:lang w:val="en-US"/>
        </w:rPr>
        <w:t>III</w:t>
      </w:r>
      <w:r>
        <w:rPr>
          <w:b/>
        </w:rPr>
        <w:t>. Проведение мероприятий по контролю качества</w:t>
      </w:r>
    </w:p>
    <w:p>
      <w:pPr>
        <w:pStyle w:val="15"/>
        <w:tabs>
          <w:tab w:val="clear" w:pos="708"/>
          <w:tab w:val="left" w:pos="316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5"/>
        <w:tabs>
          <w:tab w:val="clear" w:pos="708"/>
          <w:tab w:val="left" w:pos="1985" w:leader="none"/>
        </w:tabs>
        <w:ind w:firstLine="709"/>
        <w:jc w:val="both"/>
        <w:rPr/>
      </w:pPr>
      <w:r>
        <w:rPr/>
        <w:t>17. Перед посещением получателя социальных услуг по уходу с целью проверки результативности исполнения договора о предоставлении социальных услуг по уходу и дополнения к индивидуальной программе специалист:</w:t>
      </w:r>
    </w:p>
    <w:p>
      <w:pPr>
        <w:pStyle w:val="15"/>
        <w:spacing w:before="0" w:after="0"/>
        <w:ind w:firstLine="709"/>
        <w:contextualSpacing/>
        <w:jc w:val="both"/>
        <w:rPr>
          <w:color w:val="000000" w:themeColor="text1"/>
        </w:rPr>
      </w:pPr>
      <w:r>
        <w:rPr/>
        <w:t>1) анализирует информацию о получателе социальных услуг по уходу и фактически предоставляемых ему социальных услугах по уходу на основании сведений, содержащихся в ведомственной информационной системе;</w:t>
      </w:r>
    </w:p>
    <w:p>
      <w:pPr>
        <w:pStyle w:val="15"/>
        <w:spacing w:before="0" w:after="0"/>
        <w:ind w:firstLine="709"/>
        <w:contextualSpacing/>
        <w:jc w:val="both"/>
        <w:rPr/>
      </w:pPr>
      <w:r>
        <w:rPr/>
        <w:t>2) получает, обрабатывает и анализирует информацию, представленную получателем социальных услуг по уходу (его законным представителем), граждан, осуществляющих уход, в том числе в ходе телефонных переговоров с соблюдением требований законодательства о персональных данных;</w:t>
      </w:r>
    </w:p>
    <w:p>
      <w:pPr>
        <w:pStyle w:val="15"/>
        <w:spacing w:before="0" w:after="160"/>
        <w:ind w:firstLine="709"/>
        <w:contextualSpacing/>
        <w:jc w:val="both"/>
        <w:rPr/>
      </w:pPr>
      <w:r>
        <w:rPr/>
        <w:t>3) анализирует имеющиеся у поставщика социальных услуг документы, подтверждающие предоставление социальных услуг по уходу получателю социальных услуг, перечисленные в подпункте 3 пункта 7 настоящего Порядка.</w:t>
      </w:r>
    </w:p>
    <w:p>
      <w:pPr>
        <w:pStyle w:val="15"/>
        <w:spacing w:before="0" w:after="160"/>
        <w:ind w:firstLine="709"/>
        <w:contextualSpacing/>
        <w:jc w:val="both"/>
        <w:rPr/>
      </w:pPr>
      <w:r>
        <w:rPr/>
        <w:t>18. При организации посещения получателя социальных услуг по уходу на дому специалист:</w:t>
      </w:r>
    </w:p>
    <w:p>
      <w:pPr>
        <w:pStyle w:val="15"/>
        <w:spacing w:before="0" w:after="0"/>
        <w:ind w:firstLine="709"/>
        <w:contextualSpacing/>
        <w:jc w:val="both"/>
        <w:rPr/>
      </w:pPr>
      <w:r>
        <w:rPr/>
        <w:t>1) предварительно уведомляет получателя социальных услуг по уходу (законного представителя) или лицо, осуществляющее уход, лиц из ближайшего окружения удобным способом (по телефону, электронной почте, лично) о планируемом визите, цели визита;</w:t>
      </w:r>
    </w:p>
    <w:p>
      <w:pPr>
        <w:pStyle w:val="15"/>
        <w:ind w:firstLine="709"/>
        <w:jc w:val="both"/>
        <w:rPr/>
      </w:pPr>
      <w:r>
        <w:rPr/>
        <w:t>2) согласовывает с получателем социальных услуг по уходу (законным представителем) или лицом, осуществляющим уход (лицами из ближайшего окружения) время и дату визита, состав участников визита;</w:t>
      </w:r>
    </w:p>
    <w:p>
      <w:pPr>
        <w:pStyle w:val="15"/>
        <w:ind w:firstLine="709"/>
        <w:jc w:val="both"/>
        <w:rPr/>
      </w:pPr>
      <w:r>
        <w:rPr/>
        <w:t>3) осуществляет выход/выезд к получателю социальных услуг по уходу на дом.</w:t>
      </w:r>
    </w:p>
    <w:p>
      <w:pPr>
        <w:pStyle w:val="15"/>
        <w:ind w:firstLine="709"/>
        <w:jc w:val="both"/>
        <w:rPr/>
      </w:pPr>
      <w:r>
        <w:rPr/>
        <w:t>При необходимости и согласовании выезд осуществляется совместно с помощником по уходу, осуществляющим уход за получателем социальных услуг по уходу.</w:t>
      </w:r>
    </w:p>
    <w:p>
      <w:pPr>
        <w:pStyle w:val="15"/>
        <w:ind w:firstLine="709"/>
        <w:jc w:val="both"/>
        <w:rPr/>
      </w:pPr>
      <w:r>
        <w:rPr/>
        <w:t>19. Во время посещения получателя социальных услуг по уходу специалист:</w:t>
      </w:r>
    </w:p>
    <w:p>
      <w:pPr>
        <w:pStyle w:val="15"/>
        <w:ind w:firstLine="709"/>
        <w:jc w:val="both"/>
        <w:rPr/>
      </w:pPr>
      <w:r>
        <w:rPr/>
        <w:t>1) знакомится с получателем социальных услуг по уходу, его законным представителем, лицом, из ближайшего окружения, в том числе осуществляющим уход (из числа присутствующих), объясняет цели визита (продолжительность визита не может превышать 60 минут);</w:t>
      </w:r>
    </w:p>
    <w:p>
      <w:pPr>
        <w:pStyle w:val="15"/>
        <w:ind w:firstLine="709"/>
        <w:jc w:val="both"/>
        <w:rPr/>
      </w:pPr>
      <w:r>
        <w:rPr/>
        <w:t>2) устанавливает доверительный контакт с получателем социальных услуг по уходу, его законным представителем, лицом, из ближайшего окружения, в том числе осуществляющим уход (из числа присутствующих);</w:t>
      </w:r>
    </w:p>
    <w:p>
      <w:pPr>
        <w:pStyle w:val="15"/>
        <w:ind w:firstLine="709"/>
        <w:jc w:val="both"/>
        <w:rPr/>
      </w:pPr>
      <w:r>
        <w:rPr/>
        <w:t>3) беседует с получателем социальных услуг по уходу, его законным представителем, лицом, из ближайшего окружения, в том числе осуществляющим уход (из числа присутствующих), наблюдает, задает вопросы с целью выяснения наличия замечаний по предоставлению социальных услуг по уходу, полноты, своевременности их предоставления, соответствия результатов предоставления социальных услуг по уходу и их качества стандартам социальных услуг по уходу, наличия потребности в новых социальных услугах по уходу и иных потребностей;</w:t>
      </w:r>
    </w:p>
    <w:p>
      <w:pPr>
        <w:pStyle w:val="15"/>
        <w:ind w:firstLine="709"/>
        <w:jc w:val="both"/>
        <w:rPr/>
      </w:pPr>
      <w:r>
        <w:rPr/>
        <w:t>4) выясняет причины частичного предоставления или непредоставления отдельных видов социальных услуг по уходу;</w:t>
      </w:r>
    </w:p>
    <w:p>
      <w:pPr>
        <w:pStyle w:val="15"/>
        <w:ind w:firstLine="709"/>
        <w:jc w:val="both"/>
        <w:rPr/>
      </w:pPr>
      <w:r>
        <w:rPr/>
        <w:t>5) уведомляет получателя социальных услуг по уходу, его законного представителя, лиц из ближайшего окружения, в том числе осуществляющих уход (из числа присутствующих), о наличии предварительных выводов о нуждах и потребностях получателя социальных услуг по уходу, сформированных на основании полученной от них информации;</w:t>
      </w:r>
    </w:p>
    <w:p>
      <w:pPr>
        <w:pStyle w:val="15"/>
        <w:ind w:firstLine="709"/>
        <w:jc w:val="both"/>
        <w:rPr/>
      </w:pPr>
      <w:r>
        <w:rPr/>
        <w:t>6) информирует получателя социальных услуг по уходу, его законного представителя, лиц из ближайшего окружения, в том числе осуществляющих уход (из числа присутствующих), о результатах визита, предварительных выводах об изменении индивидуальной потребности получателя социальных услуг по уходу в социальном обслуживании, в том числе в социальных услугах по уходу, пересмотре или изменении дополнения к индивидуальной программе;</w:t>
      </w:r>
    </w:p>
    <w:p>
      <w:pPr>
        <w:pStyle w:val="15"/>
        <w:ind w:firstLine="709"/>
        <w:jc w:val="both"/>
        <w:rPr/>
      </w:pPr>
      <w:r>
        <w:rPr/>
        <w:t>7) согласовывает с получателем социальных услуг по уходу (</w:t>
      </w:r>
      <w:r>
        <w:rPr/>
        <w:t xml:space="preserve">его </w:t>
      </w:r>
      <w:r>
        <w:rPr/>
        <w:t>законным представителем) рекомендуемый перечень социальных услуг по уходу (при необходимости);</w:t>
      </w:r>
    </w:p>
    <w:p>
      <w:pPr>
        <w:pStyle w:val="15"/>
        <w:ind w:firstLine="709"/>
        <w:jc w:val="both"/>
        <w:rPr/>
      </w:pPr>
      <w:r>
        <w:rPr/>
        <w:t>8) завершает общение с получателем социальных услуг по уходу, его законным представителем, лицами из ближайшего окружения, в том числе осуществляющими уход (из числа присутствующих), объясняет дальнейшие действия со стороны специалистов.</w:t>
      </w:r>
    </w:p>
    <w:p>
      <w:pPr>
        <w:pStyle w:val="15"/>
        <w:ind w:firstLine="709"/>
        <w:jc w:val="both"/>
        <w:rPr/>
      </w:pPr>
      <w:r>
        <w:rPr/>
        <w:t>20. В течение двух рабочих дней со дня посещения получателя социальных услуг по уходу специалистом, проводившим контроль качества, осуществляется сверка информации, полученной в ходе посещения получателя социальных услуг по уходу, и сведений, отраженных поставщиком социальных услуг в документах, подтверждающих предоставление социальных услуг по уходу получателю социальных услуг по уходу, перечисленных в подпункте 3 пункта 7 настоящего Порядка, и предоставленных поставщиком социальных услуг.</w:t>
      </w:r>
    </w:p>
    <w:p>
      <w:pPr>
        <w:pStyle w:val="15"/>
        <w:ind w:firstLine="709"/>
        <w:jc w:val="both"/>
        <w:rPr/>
      </w:pPr>
      <w:r>
        <w:rPr/>
      </w:r>
    </w:p>
    <w:p>
      <w:pPr>
        <w:pStyle w:val="15"/>
        <w:tabs>
          <w:tab w:val="clear" w:pos="708"/>
          <w:tab w:val="left" w:pos="324" w:leader="none"/>
        </w:tabs>
        <w:ind w:hanging="0"/>
        <w:jc w:val="center"/>
        <w:rPr>
          <w:b/>
          <w:b/>
        </w:rPr>
      </w:pPr>
      <w:r>
        <w:rPr>
          <w:b/>
          <w:lang w:val="en-US"/>
        </w:rPr>
        <w:t>IV</w:t>
      </w:r>
      <w:r>
        <w:rPr>
          <w:b/>
        </w:rPr>
        <w:t>. Оформление результатов осуществления контроля качества</w:t>
      </w:r>
    </w:p>
    <w:p>
      <w:pPr>
        <w:pStyle w:val="15"/>
        <w:tabs>
          <w:tab w:val="clear" w:pos="708"/>
          <w:tab w:val="left" w:pos="324" w:leader="none"/>
        </w:tabs>
        <w:ind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15"/>
        <w:tabs>
          <w:tab w:val="clear" w:pos="708"/>
          <w:tab w:val="left" w:pos="709" w:leader="none"/>
        </w:tabs>
        <w:ind w:firstLine="709"/>
        <w:jc w:val="both"/>
        <w:rPr/>
      </w:pPr>
      <w:r>
        <w:rPr/>
        <w:t xml:space="preserve">21. По результатам проведенных мероприятий по контролю качества специалистами поставщика социальных услуг, ТКЦ, РКЦ, министерства формируется отчет о результатах осуществления контроля качества предоставления социальных услуг </w:t>
      </w:r>
      <w:r>
        <w:rPr/>
        <w:t xml:space="preserve">по уходу </w:t>
      </w:r>
      <w:r>
        <w:rPr/>
        <w:t>на дому (далее – отчет) по форме согласно приложению № 2 к настоящему Порядку:</w:t>
      </w:r>
      <w:bookmarkStart w:id="0" w:name="_GoBack"/>
      <w:bookmarkEnd w:id="0"/>
    </w:p>
    <w:p>
      <w:pPr>
        <w:pStyle w:val="15"/>
        <w:tabs>
          <w:tab w:val="clear" w:pos="708"/>
          <w:tab w:val="left" w:pos="709" w:leader="none"/>
        </w:tabs>
        <w:ind w:firstLine="709"/>
        <w:jc w:val="both"/>
        <w:rPr/>
      </w:pPr>
      <w:r>
        <w:rPr/>
        <w:t xml:space="preserve">1) в течение </w:t>
      </w:r>
      <w:r>
        <w:rPr>
          <w:color w:val="000000" w:themeColor="text1"/>
        </w:rPr>
        <w:t xml:space="preserve">пяти рабочих </w:t>
      </w:r>
      <w:r>
        <w:rPr/>
        <w:t>дней со дня посещения получателя социальных услуг по уходу;</w:t>
      </w:r>
    </w:p>
    <w:p>
      <w:pPr>
        <w:pStyle w:val="15"/>
        <w:tabs>
          <w:tab w:val="clear" w:pos="708"/>
          <w:tab w:val="left" w:pos="709" w:leader="none"/>
        </w:tabs>
        <w:ind w:firstLine="709"/>
        <w:jc w:val="both"/>
        <w:rPr>
          <w:b/>
          <w:b/>
        </w:rPr>
      </w:pPr>
      <w:r>
        <w:rPr/>
        <w:t>2) в течение 30 календарных дней со дня начала проведения документарной проверки, в соответствии с утвержденным графиком.</w:t>
      </w:r>
    </w:p>
    <w:p>
      <w:pPr>
        <w:pStyle w:val="15"/>
        <w:ind w:firstLine="709"/>
        <w:jc w:val="both"/>
        <w:rPr/>
      </w:pPr>
      <w:r>
        <w:rPr/>
        <w:t>Отчет составляется в двух экземплярах в случае, если контроль качества осуществляется ТКЦ, РКЦ или министерством. Один экземпляр отчета в течение одного рабочего дня со дня его составления направляется поставщику социальных услуг любым доступным способом, второй хранится по месту нахождения РКЦ, ТКЦ, министерства (в зависимости от этапа проведения контроля качества).</w:t>
      </w:r>
    </w:p>
    <w:p>
      <w:pPr>
        <w:pStyle w:val="15"/>
        <w:ind w:firstLine="709"/>
        <w:jc w:val="both"/>
        <w:rPr/>
      </w:pPr>
      <w:r>
        <w:rPr/>
        <w:t>Отчет составляется в одном экземпляре в случае, если контроль качества осуществляется поставщиком социальных услуг, и хранится по месту нахождения поставщика.</w:t>
      </w:r>
    </w:p>
    <w:p>
      <w:pPr>
        <w:pStyle w:val="15"/>
        <w:ind w:firstLine="709"/>
        <w:jc w:val="both"/>
        <w:rPr>
          <w:color w:val="FF0000"/>
        </w:rPr>
      </w:pPr>
      <w:r>
        <w:rPr>
          <w:color w:val="000000" w:themeColor="text1"/>
        </w:rPr>
        <w:t>22. </w:t>
      </w:r>
      <w:r>
        <w:rPr/>
        <w:t>В случае выявления по итогам контроля качества фактов изменения индивидуальной потребности получателя социальных услуг по уходу в социальном обслуживании, в том числе в социальных услугах по уходу, информация в течение одного рабочего дня направляется в ТКЦ для пересмотра дополнений к индивидуальной программе.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23. В случае выявления по итогам контроля качества факта несоответствия результатов предоставления социальных услуг по уходу и их качества стандартам социальных услуг по уходу или факта непредставления поставщиком социальных услуг по уходу, включенных в дополнение к индивидуальной программе, не подтвержденного личным отказом получателя социальных услуг по уходу, или иных нарушений федерального и (или) регионального законодательства в сфере социального обслуживания, допущенных поставщиком социальных услуг, ТКЦ, РКЦ в течение одного рабочего дня со дня составления отчета о результатах контроля качества предоставления социальных услуг по уходу направляет копию отчета в министерство.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  <w:b w:val="false"/>
          <w:sz w:val="28"/>
          <w:szCs w:val="28"/>
          <w:highlight w:val="yellow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1418" w:right="567" w:header="709" w:top="851" w:footer="0" w:bottom="709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spacing w:before="240" w:after="60"/>
      <w:jc w:val="both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Normal"/>
    <w:next w:val="Normal"/>
    <w:link w:val="20"/>
    <w:unhideWhenUsed/>
    <w:qFormat/>
    <w:pPr>
      <w:keepNext w:val="true"/>
      <w:spacing w:before="240" w:after="60"/>
      <w:jc w:val="both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0"/>
    <w:qFormat/>
    <w:pPr>
      <w:keepNext w:val="true"/>
      <w:spacing w:lineRule="auto" w:line="240" w:before="0" w:after="0"/>
      <w:jc w:val="both"/>
      <w:outlineLvl w:val="3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link w:val="a3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Pr>
      <w:sz w:val="24"/>
      <w:szCs w:val="24"/>
    </w:rPr>
  </w:style>
  <w:style w:type="character" w:styleId="21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7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link w:val="aa"/>
    <w:uiPriority w:val="99"/>
    <w:qFormat/>
    <w:rPr>
      <w:sz w:val="1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Style10" w:customStyle="1">
    <w:name w:val="Текст концевой сноски Знак"/>
    <w:link w:val="ad"/>
    <w:uiPriority w:val="99"/>
    <w:qFormat/>
    <w:rPr>
      <w:sz w:val="20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11" w:customStyle="1">
    <w:name w:val="Заголовок 1 Знак"/>
    <w:basedOn w:val="DefaultParagraphFont"/>
    <w:link w:val="1"/>
    <w:qFormat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22" w:customStyle="1">
    <w:name w:val="Заголовок 2 Знак"/>
    <w:basedOn w:val="DefaultParagraphFont"/>
    <w:link w:val="2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character" w:styleId="41" w:customStyle="1">
    <w:name w:val="Заголовок 4 Знак"/>
    <w:basedOn w:val="DefaultParagraphFont"/>
    <w:link w:val="4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Текст выноски Знак"/>
    <w:basedOn w:val="DefaultParagraphFont"/>
    <w:link w:val="af2"/>
    <w:uiPriority w:val="99"/>
    <w:semiHidden/>
    <w:qFormat/>
    <w:rPr>
      <w:rFonts w:ascii="Tahoma" w:hAnsi="Tahoma" w:eastAsia="Times New Roman" w:cs="Times New Roman"/>
      <w:sz w:val="16"/>
      <w:szCs w:val="16"/>
      <w:lang w:eastAsia="ru-RU"/>
    </w:rPr>
  </w:style>
  <w:style w:type="character" w:styleId="Style13">
    <w:name w:val="Интернет-ссылка"/>
    <w:uiPriority w:val="99"/>
    <w:rPr>
      <w:rFonts w:cs="Times New Roman"/>
      <w:color w:val="0000FF"/>
      <w:u w:val="single"/>
    </w:rPr>
  </w:style>
  <w:style w:type="character" w:styleId="Style14" w:customStyle="1">
    <w:name w:val="Верхний колонтитул Знак"/>
    <w:basedOn w:val="DefaultParagraphFont"/>
    <w:link w:val="af6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Основной текст Знак"/>
    <w:basedOn w:val="DefaultParagraphFont"/>
    <w:link w:val="af8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fa"/>
    <w:uiPriority w:val="99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7" w:customStyle="1">
    <w:name w:val="Основной текст с отступом Знак"/>
    <w:basedOn w:val="DefaultParagraphFont"/>
    <w:link w:val="afc"/>
    <w:uiPriority w:val="99"/>
    <w:qFormat/>
    <w:rPr>
      <w:rFonts w:ascii="Calibri" w:hAnsi="Calibri" w:eastAsia="Times New Roman" w:cs="Times New Roman"/>
      <w:lang w:eastAsia="ru-RU"/>
    </w:rPr>
  </w:style>
  <w:style w:type="character" w:styleId="Strong">
    <w:name w:val="Strong"/>
    <w:uiPriority w:val="22"/>
    <w:qFormat/>
    <w:rPr>
      <w:b/>
      <w:bCs/>
    </w:rPr>
  </w:style>
  <w:style w:type="character" w:styleId="ConsPlusNormal" w:customStyle="1">
    <w:name w:val="ConsPlusNormal Знак"/>
    <w:link w:val="ConsPlusNormal"/>
    <w:qFormat/>
    <w:rPr>
      <w:rFonts w:ascii="Arial" w:hAnsi="Arial" w:eastAsia="Times New Roman" w:cs="Arial"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ff4"/>
    <w:uiPriority w:val="99"/>
    <w:semiHidden/>
    <w:qFormat/>
    <w:rPr>
      <w:rFonts w:ascii="Calibri" w:hAnsi="Calibri" w:eastAsia="Times New Roman" w:cs="Times New Roman"/>
      <w:sz w:val="20"/>
      <w:szCs w:val="20"/>
      <w:lang w:eastAsia="ru-RU"/>
    </w:rPr>
  </w:style>
  <w:style w:type="character" w:styleId="Style19" w:customStyle="1">
    <w:name w:val="Тема примечания Знак"/>
    <w:basedOn w:val="Style18"/>
    <w:link w:val="aff6"/>
    <w:uiPriority w:val="99"/>
    <w:semiHidden/>
    <w:qFormat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character" w:styleId="Style20" w:customStyle="1">
    <w:name w:val="Абзац списка Знак"/>
    <w:link w:val="aff0"/>
    <w:uiPriority w:val="34"/>
    <w:qFormat/>
    <w:rPr>
      <w:rFonts w:ascii="Calibri" w:hAnsi="Calibri" w:eastAsia="Times New Roman" w:cs="Times New Roman"/>
      <w:lang w:eastAsia="ru-RU"/>
    </w:rPr>
  </w:style>
  <w:style w:type="character" w:styleId="Style21" w:customStyle="1">
    <w:name w:val="Основной текст_"/>
    <w:basedOn w:val="DefaultParagraphFont"/>
    <w:link w:val="17"/>
    <w:qFormat/>
    <w:rPr>
      <w:rFonts w:ascii="Times New Roman" w:hAnsi="Times New Roman" w:eastAsia="Times New Roman" w:cs="Times New Roman"/>
      <w:sz w:val="28"/>
      <w:szCs w:val="28"/>
    </w:rPr>
  </w:style>
  <w:style w:type="character" w:styleId="23" w:customStyle="1">
    <w:name w:val="Основной текст (2)_"/>
    <w:basedOn w:val="DefaultParagraphFont"/>
    <w:link w:val="26"/>
    <w:qFormat/>
    <w:rPr>
      <w:rFonts w:ascii="Times New Roman" w:hAnsi="Times New Roman" w:eastAsia="Times New Roman" w:cs="Times New Roman"/>
      <w:sz w:val="20"/>
      <w:szCs w:val="20"/>
    </w:rPr>
  </w:style>
  <w:style w:type="character" w:styleId="32" w:customStyle="1">
    <w:name w:val="Основной текст (3)_"/>
    <w:basedOn w:val="DefaultParagraphFont"/>
    <w:link w:val="35"/>
    <w:qFormat/>
    <w:rPr>
      <w:rFonts w:ascii="Times New Roman" w:hAnsi="Times New Roman" w:eastAsia="Times New Roman" w:cs="Times New Roman"/>
    </w:rPr>
  </w:style>
  <w:style w:type="character" w:styleId="Style22" w:customStyle="1">
    <w:name w:val="Другое_"/>
    <w:basedOn w:val="DefaultParagraphFont"/>
    <w:link w:val="affa"/>
    <w:qFormat/>
    <w:rPr>
      <w:rFonts w:ascii="Times New Roman" w:hAnsi="Times New Roman" w:eastAsia="Times New Roman" w:cs="Times New Roman"/>
      <w:sz w:val="28"/>
      <w:szCs w:val="28"/>
    </w:rPr>
  </w:style>
  <w:style w:type="character" w:styleId="Style23" w:customStyle="1">
    <w:name w:val="Подпись к таблице_"/>
    <w:basedOn w:val="DefaultParagraphFont"/>
    <w:link w:val="affc"/>
    <w:qFormat/>
    <w:rPr>
      <w:rFonts w:ascii="Times New Roman" w:hAnsi="Times New Roman" w:eastAsia="Times New Roman" w:cs="Times New Roman"/>
      <w:sz w:val="20"/>
      <w:szCs w:val="20"/>
    </w:rPr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5">
    <w:name w:val="Body Text"/>
    <w:basedOn w:val="Normal"/>
    <w:link w:val="af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6">
    <w:name w:val="List"/>
    <w:basedOn w:val="Style25"/>
    <w:pPr/>
    <w:rPr>
      <w:rFonts w:cs="Droid Sans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9">
    <w:name w:val="Title"/>
    <w:basedOn w:val="Normal"/>
    <w:next w:val="Normal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0">
    <w:name w:val="Subtitle"/>
    <w:basedOn w:val="Normal"/>
    <w:next w:val="Normal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31">
    <w:name w:val="Footnote Text"/>
    <w:basedOn w:val="Normal"/>
    <w:link w:val="ab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2">
    <w:name w:val="Endnote Text"/>
    <w:basedOn w:val="Normal"/>
    <w:link w:val="ae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3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BalloonText">
    <w:name w:val="Balloon Text"/>
    <w:basedOn w:val="Normal"/>
    <w:link w:val="af3"/>
    <w:uiPriority w:val="99"/>
    <w:semiHidden/>
    <w:qFormat/>
    <w:pPr>
      <w:spacing w:lineRule="auto" w:line="240" w:before="0" w:after="0"/>
      <w:jc w:val="both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Style33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link w:val="af7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5">
    <w:name w:val="Footer"/>
    <w:basedOn w:val="Normal"/>
    <w:link w:val="afb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PlusNormal1" w:customStyle="1">
    <w:name w:val="ConsPlusNormal"/>
    <w:link w:val="ConsPlusNormal0"/>
    <w:qFormat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 w:cstheme="minorBidi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pPr>
      <w:widowControl/>
      <w:bidi w:val="0"/>
      <w:spacing w:lineRule="auto" w:line="240" w:before="0" w:after="0"/>
      <w:jc w:val="both"/>
    </w:pPr>
    <w:rPr>
      <w:rFonts w:ascii="Courier New" w:hAnsi="Courier New" w:eastAsia="Calibri" w:cs="Courier New" w:eastAsiaTheme="minorHAnsi"/>
      <w:color w:val="auto"/>
      <w:kern w:val="0"/>
      <w:sz w:val="20"/>
      <w:szCs w:val="20"/>
      <w:lang w:eastAsia="ru-RU" w:val="ru-RU" w:bidi="ar-SA"/>
    </w:rPr>
  </w:style>
  <w:style w:type="paragraph" w:styleId="Style36">
    <w:name w:val="Body Text Indent"/>
    <w:basedOn w:val="Normal"/>
    <w:link w:val="afd"/>
    <w:uiPriority w:val="99"/>
    <w:unhideWhenUsed/>
    <w:pPr>
      <w:spacing w:before="0" w:after="120"/>
      <w:ind w:left="283" w:hanging="0"/>
      <w:jc w:val="both"/>
    </w:pPr>
    <w:rPr>
      <w:rFonts w:ascii="Calibri" w:hAnsi="Calibri" w:eastAsia="Times New Roman" w:cs="Times New Roman"/>
      <w:lang w:eastAsia="ru-RU"/>
    </w:rPr>
  </w:style>
  <w:style w:type="paragraph" w:styleId="24">
    <w:name w:val="TOC 2"/>
    <w:basedOn w:val="Normal"/>
    <w:next w:val="Normal"/>
    <w:pPr>
      <w:ind w:left="220" w:hanging="0"/>
      <w:jc w:val="both"/>
    </w:pPr>
    <w:rPr>
      <w:rFonts w:ascii="Calibri" w:hAnsi="Calibri" w:eastAsia="Times New Roman" w:cs="Times New Roman"/>
      <w:lang w:eastAsia="ru-RU"/>
    </w:rPr>
  </w:style>
  <w:style w:type="paragraph" w:styleId="12">
    <w:name w:val="TOC 1"/>
    <w:basedOn w:val="Normal"/>
    <w:next w:val="Normal"/>
    <w:pPr>
      <w:jc w:val="both"/>
    </w:pPr>
    <w:rPr>
      <w:rFonts w:ascii="Calibri" w:hAnsi="Calibri" w:eastAsia="Times New Roman" w:cs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Абзац списка1"/>
    <w:basedOn w:val="Normal"/>
    <w:next w:val="ListParagraph"/>
    <w:uiPriority w:val="34"/>
    <w:qFormat/>
    <w:pPr>
      <w:spacing w:lineRule="auto" w:line="259"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14" w:customStyle="1">
    <w:name w:val="Без интервала1"/>
    <w:next w:val="NoSpacing"/>
    <w:uiPriority w:val="1"/>
    <w:qFormat/>
    <w:pPr>
      <w:widowControl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ListParagraph">
    <w:name w:val="List Paragraph"/>
    <w:basedOn w:val="Normal"/>
    <w:link w:val="aff2"/>
    <w:uiPriority w:val="34"/>
    <w:qFormat/>
    <w:pPr>
      <w:ind w:left="708" w:hanging="0"/>
      <w:jc w:val="both"/>
    </w:pPr>
    <w:rPr>
      <w:rFonts w:ascii="Calibri" w:hAnsi="Calibri" w:eastAsia="Times New Roman" w:cs="Times New Roman"/>
      <w:lang w:eastAsia="ru-RU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Annotationtext">
    <w:name w:val="annotation text"/>
    <w:basedOn w:val="Normal"/>
    <w:link w:val="aff5"/>
    <w:uiPriority w:val="99"/>
    <w:semiHidden/>
    <w:unhideWhenUsed/>
    <w:qFormat/>
    <w:pPr>
      <w:spacing w:lineRule="auto" w:line="240"/>
      <w:jc w:val="both"/>
    </w:pPr>
    <w:rPr>
      <w:rFonts w:ascii="Calibri" w:hAnsi="Calibri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ff7"/>
    <w:uiPriority w:val="99"/>
    <w:semiHidden/>
    <w:unhideWhenUsed/>
    <w:qFormat/>
    <w:pPr/>
    <w:rPr>
      <w:b/>
      <w:bCs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15" w:customStyle="1">
    <w:name w:val="Основной текст1"/>
    <w:basedOn w:val="Normal"/>
    <w:link w:val="aff8"/>
    <w:qFormat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25" w:customStyle="1">
    <w:name w:val="Основной текст (2)"/>
    <w:basedOn w:val="Normal"/>
    <w:link w:val="25"/>
    <w:qFormat/>
    <w:pPr>
      <w:widowControl w:val="false"/>
      <w:spacing w:lineRule="auto" w:line="240" w:before="0" w:after="220"/>
      <w:ind w:left="1030" w:firstLine="440"/>
    </w:pPr>
    <w:rPr>
      <w:rFonts w:ascii="Times New Roman" w:hAnsi="Times New Roman" w:eastAsia="Times New Roman" w:cs="Times New Roman"/>
      <w:sz w:val="20"/>
      <w:szCs w:val="20"/>
    </w:rPr>
  </w:style>
  <w:style w:type="paragraph" w:styleId="34" w:customStyle="1">
    <w:name w:val="Основной текст (3)"/>
    <w:basedOn w:val="Normal"/>
    <w:link w:val="34"/>
    <w:qFormat/>
    <w:pPr>
      <w:widowControl w:val="false"/>
      <w:spacing w:lineRule="auto" w:line="240" w:before="0" w:after="220"/>
      <w:jc w:val="center"/>
    </w:pPr>
    <w:rPr>
      <w:rFonts w:ascii="Times New Roman" w:hAnsi="Times New Roman" w:eastAsia="Times New Roman" w:cs="Times New Roman"/>
    </w:rPr>
  </w:style>
  <w:style w:type="paragraph" w:styleId="Style37" w:customStyle="1">
    <w:name w:val="Другое"/>
    <w:basedOn w:val="Normal"/>
    <w:link w:val="aff9"/>
    <w:qFormat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38" w:customStyle="1">
    <w:name w:val="Подпись к таблице"/>
    <w:basedOn w:val="Normal"/>
    <w:link w:val="affb"/>
    <w:qFormat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</w:style>
  <w:style w:type="numbering" w:styleId="111" w:customStyle="1">
    <w:name w:val="Нет списка11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4">
    <w:name w:val="Table Grid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4">
    <w:name w:val="Сетка таблицы1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">
    <w:name w:val="Сетка таблицы2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3">
    <w:name w:val="Сетка таблицы4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62">
    <w:name w:val="Сетка таблицы6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2">
    <w:name w:val="Сетка таблицы8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92">
    <w:name w:val="Сетка таблицы9"/>
    <w:basedOn w:val="a1"/>
    <w:uiPriority w:val="5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0">
    <w:name w:val="Сетка таблицы10"/>
    <w:basedOn w:val="a1"/>
    <w:uiPriority w:val="5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11">
    <w:name w:val="Сетка таблицы11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1">
    <w:name w:val="Сетка таблицы21"/>
    <w:basedOn w:val="a1"/>
    <w:uiPriority w:val="39"/>
    <w:pPr>
      <w:spacing w:after="0" w:line="240" w:lineRule="auto"/>
    </w:pPr>
    <w:rPr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310">
    <w:name w:val="Сетка таблицы31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0">
    <w:name w:val="Сетка таблицы12"/>
    <w:basedOn w:val="a1"/>
    <w:uiPriority w:val="39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8EC3-B0D7-4164-99EB-28C6A651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LibreOffice/6.4.7.2$Linux_X86_64 LibreOffice_project/40$Build-2</Application>
  <Pages>6</Pages>
  <Words>1817</Words>
  <Characters>12828</Characters>
  <CharactersWithSpaces>14568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2023-09-29T07:04:00Z</dcterms:created>
  <dc:creator>Скрипкина Наталья Степановна</dc:creator>
  <dc:description/>
  <dc:language>ru-RU</dc:language>
  <cp:lastModifiedBy/>
  <cp:lastPrinted>2024-01-22T04:29:00Z</cp:lastPrinted>
  <dcterms:modified xsi:type="dcterms:W3CDTF">2024-02-01T13:26:02Z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