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 xml:space="preserve">Проект</w:t>
      </w:r>
    </w:p>
    <w:p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 xml:space="preserve">постановления</w:t>
      </w:r>
      <w:r>
        <w:rPr>
          <w:bCs/>
        </w:rPr>
        <w:t xml:space="preserve"> </w:t>
      </w:r>
      <w:r>
        <w:rPr>
          <w:bCs/>
        </w:rPr>
        <w:t xml:space="preserve">Губернатора</w:t>
      </w:r>
    </w:p>
    <w:p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 xml:space="preserve">Новосибирской области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rFonts w:eastAsia="Calibri"/>
          <w:color w:val="000000"/>
          <w:sz w:val="28"/>
          <w:szCs w:val="28"/>
        </w:rPr>
      </w:pPr>
    </w:p>
    <w:p>
      <w:pPr>
        <w:jc w:val="center"/>
        <w:rPr>
          <w:rFonts w:eastAsia="Calibri"/>
          <w:color w:val="000000"/>
          <w:sz w:val="28"/>
          <w:szCs w:val="28"/>
        </w:rPr>
      </w:pPr>
    </w:p>
    <w:p>
      <w:pPr>
        <w:jc w:val="center"/>
        <w:rPr>
          <w:rFonts w:eastAsia="Calibri"/>
          <w:color w:val="000000"/>
          <w:sz w:val="28"/>
          <w:szCs w:val="28"/>
        </w:rPr>
      </w:pPr>
    </w:p>
    <w:p>
      <w:pPr>
        <w:jc w:val="center"/>
        <w:rPr>
          <w:rFonts w:eastAsia="Calibri"/>
          <w:color w:val="000000"/>
          <w:sz w:val="28"/>
          <w:szCs w:val="28"/>
        </w:rPr>
      </w:pPr>
    </w:p>
    <w:p>
      <w:pPr>
        <w:rPr>
          <w:rFonts w:eastAsia="Calibri"/>
          <w:color w:val="000000"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постановление Губернатора Новосибирской области от 30.06.2023 № 131</w:t>
      </w: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</w:t>
      </w:r>
      <w:r>
        <w:rPr>
          <w:rFonts w:eastAsia="Calibri"/>
          <w:b/>
          <w:sz w:val="28"/>
          <w:szCs w:val="28"/>
          <w:lang w:eastAsia="en-US"/>
        </w:rPr>
        <w:t xml:space="preserve"> о с </w:t>
      </w:r>
      <w:r>
        <w:rPr>
          <w:rFonts w:eastAsia="Calibri"/>
          <w:b/>
          <w:sz w:val="28"/>
          <w:szCs w:val="28"/>
          <w:lang w:eastAsia="en-US"/>
        </w:rPr>
        <w:t xml:space="preserve">т</w:t>
      </w:r>
      <w:r>
        <w:rPr>
          <w:rFonts w:eastAsia="Calibri"/>
          <w:b/>
          <w:sz w:val="28"/>
          <w:szCs w:val="28"/>
          <w:lang w:eastAsia="en-US"/>
        </w:rPr>
        <w:t xml:space="preserve"> а н о в л я ю</w:t>
      </w:r>
      <w:r>
        <w:rPr>
          <w:rFonts w:eastAsia="Calibri"/>
          <w:sz w:val="28"/>
          <w:szCs w:val="28"/>
          <w:lang w:eastAsia="en-US"/>
        </w:rPr>
        <w:t xml:space="preserve">: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>
        <w:rPr>
          <w:sz w:val="28"/>
          <w:szCs w:val="28"/>
        </w:rPr>
        <w:t xml:space="preserve">Губернатора Новосибирской области от 30.06.2023 № 131 «О </w:t>
      </w:r>
      <w:r>
        <w:rPr>
          <w:bCs/>
          <w:sz w:val="28"/>
          <w:szCs w:val="28"/>
        </w:rPr>
        <w:t xml:space="preserve">создании межведомственной рабочей группы по внедрению клиентоцентричности в Новосибирской области»</w:t>
      </w:r>
      <w:r>
        <w:rPr>
          <w:bCs/>
          <w:sz w:val="28"/>
          <w:szCs w:val="28"/>
        </w:rPr>
        <w:t xml:space="preserve"> следующ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е изме</w:t>
      </w:r>
      <w:r>
        <w:rPr>
          <w:bCs/>
          <w:sz w:val="28"/>
          <w:szCs w:val="28"/>
        </w:rPr>
        <w:t xml:space="preserve">нени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: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</w:t>
      </w:r>
      <w:r>
        <w:rPr>
          <w:rFonts w:eastAsia="Calibri"/>
          <w:sz w:val="28"/>
          <w:szCs w:val="28"/>
          <w:lang w:eastAsia="en-US"/>
        </w:rPr>
        <w:t xml:space="preserve">Подпункт 1.1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ункт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4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силу.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Ввести в состав межведомственной рабочей 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Новосибирской области</w:t>
      </w:r>
      <w:r>
        <w:rPr>
          <w:sz w:val="28"/>
          <w:szCs w:val="28"/>
        </w:rPr>
        <w:t xml:space="preserve">: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Щукина Владимира Николаевича, заместителя министра образования Новосибирской области;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Петрова Дмитрия Федоровича, заместителя министра региональной политики Новосибирской области;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Стукалина</w:t>
      </w:r>
      <w:r>
        <w:rPr>
          <w:sz w:val="28"/>
          <w:szCs w:val="28"/>
        </w:rPr>
        <w:t xml:space="preserve"> Евгения Владимировича, исполняющего обязанности заместителя министра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использования природных ресурсов министерства</w:t>
      </w:r>
      <w:r>
        <w:rPr>
          <w:sz w:val="28"/>
          <w:szCs w:val="28"/>
        </w:rPr>
        <w:t xml:space="preserve"> природных ресурсов и экологии Новосибирской области;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Деева Владимира Геннадьевича, заместителя министра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государственной культурной политики министерства культуры Новосибирской области;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Королькову</w:t>
      </w:r>
      <w:r>
        <w:rPr>
          <w:sz w:val="28"/>
          <w:szCs w:val="28"/>
        </w:rPr>
        <w:t xml:space="preserve"> Светлану Викторовну, заместителя руководителя департамента молодежной политики Новосибирской области;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Рягузова</w:t>
      </w:r>
      <w:r>
        <w:rPr>
          <w:sz w:val="28"/>
          <w:szCs w:val="28"/>
        </w:rPr>
        <w:t xml:space="preserve"> Дениса Евгеньевича, заместителя министра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промышленности и предпринимательства</w:t>
      </w:r>
      <w:r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.</w:t>
      </w:r>
    </w:p>
    <w:p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ывести из состава</w:t>
      </w:r>
      <w:r>
        <w:rPr>
          <w:sz w:val="28"/>
          <w:szCs w:val="28"/>
        </w:rPr>
        <w:t xml:space="preserve"> межведомственной рабочей группы по внедрению </w:t>
      </w:r>
      <w:r>
        <w:rPr>
          <w:sz w:val="28"/>
          <w:szCs w:val="28"/>
        </w:rPr>
        <w:t xml:space="preserve">клиентоцентричности</w:t>
      </w:r>
      <w:r>
        <w:rPr>
          <w:sz w:val="28"/>
          <w:szCs w:val="28"/>
        </w:rPr>
        <w:t xml:space="preserve"> в Новосибирской области </w:t>
      </w:r>
      <w:r>
        <w:rPr>
          <w:sz w:val="28"/>
          <w:szCs w:val="28"/>
        </w:rPr>
        <w:t xml:space="preserve">Кудрявцева </w:t>
      </w:r>
      <w:r>
        <w:rPr>
          <w:sz w:val="28"/>
          <w:szCs w:val="28"/>
        </w:rPr>
        <w:t xml:space="preserve">М.Г.</w:t>
      </w:r>
      <w:r>
        <w:rPr>
          <w:sz w:val="28"/>
          <w:szCs w:val="28"/>
        </w:rPr>
        <w:t xml:space="preserve">, Головнина </w:t>
      </w:r>
      <w:r>
        <w:rPr>
          <w:sz w:val="28"/>
          <w:szCs w:val="28"/>
        </w:rPr>
        <w:t xml:space="preserve">А.Н., </w:t>
      </w:r>
      <w:r>
        <w:rPr>
          <w:sz w:val="28"/>
          <w:szCs w:val="28"/>
        </w:rPr>
        <w:t xml:space="preserve">Бузмакова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Е.Л., Марченко</w:t>
      </w:r>
      <w:r>
        <w:rPr>
          <w:sz w:val="28"/>
          <w:szCs w:val="28"/>
        </w:rPr>
        <w:t xml:space="preserve"> Ю.Ю., Сазонова Е.А., Останина </w:t>
      </w:r>
      <w:r>
        <w:rPr>
          <w:sz w:val="28"/>
          <w:szCs w:val="28"/>
        </w:rPr>
        <w:t xml:space="preserve">М.К.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А.А. Травников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widowControl w:val="o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И.О. Савельева</w:t>
      </w:r>
    </w:p>
    <w:p>
      <w:pPr>
        <w:widowControl w:val="o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296-57-67</w:t>
      </w:r>
      <w:r>
        <w:rPr>
          <w:rFonts w:eastAsia="Calibri"/>
          <w:lang w:eastAsia="en-US"/>
        </w:rPr>
        <w:br w:type="page" w:clear="all"/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Губернатора Новосибирской области </w:t>
      </w:r>
    </w:p>
    <w:p>
      <w:pPr>
        <w:widowControl w:val="off"/>
        <w:jc w:val="center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постановление Губернатора Новосибирской области от 30.06.2023 № 131</w:t>
      </w:r>
      <w:r>
        <w:rPr>
          <w:rFonts w:eastAsiaTheme="minorEastAsia"/>
          <w:bCs/>
          <w:sz w:val="28"/>
          <w:szCs w:val="28"/>
        </w:rPr>
        <w:t xml:space="preserve">»</w:t>
      </w:r>
    </w:p>
    <w:p>
      <w:pPr>
        <w:widowControl w:val="o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6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Новосибирской области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hanging="78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394" w:type="dxa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Дудникова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80"/>
        </w:trP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о.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цифрового развития и связи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4394" w:type="dxa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Савельева</w:t>
            </w:r>
            <w:bookmarkStart w:id="0" w:name="_GoBack"/>
            <w:bookmarkEnd w:id="0"/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4394" w:type="dxa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«___»________________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38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49"/>
        <w:gridCol w:w="2551"/>
        <w:gridCol w:w="2415"/>
      </w:tblGrid>
      <w:tr>
        <w:tc>
          <w:tcPr>
            <w:tcW w:w="4849" w:type="dxa"/>
          </w:tcPr>
          <w:p>
            <w:pPr>
              <w:widowControl w:val="off"/>
              <w:spacing w:line="276" w:lineRule="auto"/>
            </w:pPr>
          </w:p>
        </w:tc>
        <w:tc>
          <w:tcPr>
            <w:tcW w:w="2551" w:type="dxa"/>
          </w:tcPr>
          <w:p>
            <w:pPr>
              <w:widowControl w:val="off"/>
              <w:spacing w:line="276" w:lineRule="auto"/>
              <w:jc w:val="center"/>
            </w:pPr>
          </w:p>
        </w:tc>
        <w:tc>
          <w:tcPr>
            <w:tcW w:w="2415" w:type="dxa"/>
          </w:tcPr>
          <w:p>
            <w:pPr>
              <w:widowControl w:val="off"/>
              <w:spacing w:line="276" w:lineRule="auto"/>
              <w:jc w:val="right"/>
            </w:pPr>
          </w:p>
        </w:tc>
      </w:tr>
    </w:tbl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</w:p>
    <w:p>
      <w:pPr>
        <w:widowControl w:val="o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М.С. Гольцова</w:t>
      </w:r>
    </w:p>
    <w:p>
      <w:pPr>
        <w:widowControl w:val="o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296-97-</w:t>
      </w:r>
      <w:r>
        <w:rPr>
          <w:rFonts w:eastAsia="Calibri"/>
          <w:lang w:eastAsia="en-US"/>
        </w:rPr>
        <w:t xml:space="preserve">84</w:t>
      </w:r>
    </w:p>
    <w:sectPr>
      <w:headerReference w:type="even" r:id="rId9"/>
      <w:headerReference w:type="default" r:id="rId10"/>
      <w:pgSz w:w="11907" w:h="16840"/>
      <w:pgMar w:top="1134" w:right="567" w:bottom="1418" w:left="1418" w:header="709" w:footer="709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 w:tplc="90A8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 w:tplc="A3FA3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8" w:hanging="360"/>
      </w:pPr>
    </w:lvl>
    <w:lvl w:ilvl="2" w:tentative="1" w:tplc="0419001B">
      <w:start w:val="1"/>
      <w:numFmt w:val="lowerRoman"/>
      <w:lvlText w:val="%3."/>
      <w:lvlJc w:val="right"/>
      <w:pPr>
        <w:ind w:left="2368" w:hanging="180"/>
      </w:pPr>
    </w:lvl>
    <w:lvl w:ilvl="3" w:tentative="1" w:tplc="0419000F">
      <w:start w:val="1"/>
      <w:numFmt w:val="decimal"/>
      <w:lvlText w:val="%4."/>
      <w:lvlJc w:val="left"/>
      <w:pPr>
        <w:ind w:left="3088" w:hanging="360"/>
      </w:pPr>
    </w:lvl>
    <w:lvl w:ilvl="4" w:tentative="1" w:tplc="04190019">
      <w:start w:val="1"/>
      <w:numFmt w:val="lowerLetter"/>
      <w:lvlText w:val="%5."/>
      <w:lvlJc w:val="left"/>
      <w:pPr>
        <w:ind w:left="3808" w:hanging="360"/>
      </w:pPr>
    </w:lvl>
    <w:lvl w:ilvl="5" w:tentative="1" w:tplc="0419001B">
      <w:start w:val="1"/>
      <w:numFmt w:val="lowerRoman"/>
      <w:lvlText w:val="%6."/>
      <w:lvlJc w:val="right"/>
      <w:pPr>
        <w:ind w:left="4528" w:hanging="180"/>
      </w:pPr>
    </w:lvl>
    <w:lvl w:ilvl="6" w:tentative="1" w:tplc="0419000F">
      <w:start w:val="1"/>
      <w:numFmt w:val="decimal"/>
      <w:lvlText w:val="%7."/>
      <w:lvlJc w:val="left"/>
      <w:pPr>
        <w:ind w:left="5248" w:hanging="360"/>
      </w:pPr>
    </w:lvl>
    <w:lvl w:ilvl="7" w:tentative="1" w:tplc="04190019">
      <w:start w:val="1"/>
      <w:numFmt w:val="lowerLetter"/>
      <w:lvlText w:val="%8."/>
      <w:lvlJc w:val="left"/>
      <w:pPr>
        <w:ind w:left="5968" w:hanging="360"/>
      </w:pPr>
    </w:lvl>
    <w:lvl w:ilvl="8" w:tentative="1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 w:tplc="C71AD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 w:cs="Times New Roman"/>
      </w:rPr>
    </w:lvl>
  </w:abstractNum>
  <w:abstractNum w:abstractNumId="10">
    <w:multiLevelType w:val="hybridMultilevel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20" w:customStyle="1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40" w:customStyle="1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50" w:customStyle="1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styleId="70" w:customStyle="1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80" w:customStyle="1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90" w:customStyle="1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 w:customStyle="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21" w:customStyle="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styleId="a3" w:customStyle="1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5" w:customStyle="1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styleId="a6" w:customStyle="1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w w:val="105"/>
      <w:sz w:val="28"/>
      <w:szCs w:val="28"/>
    </w:rPr>
  </w:style>
  <w:style w:type="character" w:styleId="23" w:customStyle="1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styleId="25" w:customStyle="1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a" w:customStyle="1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ConsNonformat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ConsTitle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styleId="ad" w:customStyle="1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styleId="af" w:customStyle="1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Pr>
      <w:rFonts w:cs="Times New Roman"/>
    </w:rPr>
  </w:style>
  <w:style w:type="table" w:styleId="1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ConsPlusNormal" w:customStyle="1">
    <w:name w:val="ConsPlusNormal"/>
    <w:uiPriority w:val="99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ConsPlusCell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26" w:customStyle="1">
    <w:name w:val="Сетка таблицы2"/>
    <w:basedOn w:val="a1"/>
    <w:next w:val="ab"/>
    <w:uiPriority w:val="5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FA94D0-17BD-4CA3-985A-91264162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2229</Characters>
  <CharactersWithSpaces>2492</CharactersWithSpaces>
  <Company>АГНОиПНО</Company>
  <DocSecurity>0</DocSecurity>
  <HyperlinksChanged>false</HyperlinksChanged>
  <Lines>18</Lines>
  <LinksUpToDate>false</LinksUpToDate>
  <Pages>3</Pages>
  <Paragraphs>4</Paragraphs>
  <ScaleCrop>false</ScaleCrop>
  <SharedDoc>false</SharedDoc>
  <Template>Normal</Template>
  <TotalTime>131</TotalTime>
  <Words>267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Гольцова Мария Сергеевна</cp:lastModifiedBy>
  <cp:revision>8</cp:revision>
  <cp:lastPrinted>2023-08-01T08:16:00Z</cp:lastPrinted>
  <dcterms:created xsi:type="dcterms:W3CDTF">2024-05-02T07:00:00Z</dcterms:created>
  <dcterms:modified xsi:type="dcterms:W3CDTF">2024-06-28T07:38:00Z</dcterms:modified>
</cp:coreProperties>
</file>