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 CYR" w:hAnsi="Times New Roman CYR" w:cs="Times New Roman"/>
          <w:sz w:val="28"/>
          <w:szCs w:val="28"/>
        </w:rPr>
      </w:pPr>
      <w:r>
        <w:rPr>
          <w:rFonts w:ascii="Times New Roman CYR" w:hAnsi="Times New Roman CYR" w:cs="Times New Roman"/>
          <w:sz w:val="28"/>
          <w:szCs w:val="28"/>
        </w:rPr>
        <w:t xml:space="preserve">О внесении изменени</w:t>
      </w:r>
      <w:r>
        <w:rPr>
          <w:rFonts w:ascii="Times New Roman CYR" w:hAnsi="Times New Roman CYR" w:cs="Times New Roman"/>
          <w:sz w:val="28"/>
          <w:szCs w:val="28"/>
        </w:rPr>
        <w:t xml:space="preserve">й в постановление Правительства Новосибирской области от 20.02.2015 № 68-п</w:t>
      </w:r>
      <w:r>
        <w:rPr>
          <w:rFonts w:ascii="Times New Roman CYR" w:hAnsi="Times New Roman CYR" w:cs="Times New Roman"/>
          <w:sz w:val="28"/>
          <w:szCs w:val="28"/>
        </w:rPr>
      </w:r>
      <w:r>
        <w:rPr>
          <w:rFonts w:ascii="Times New Roman CYR" w:hAnsi="Times New Roman CYR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 CYR" w:hAnsi="Times New Roman CYR" w:cs="Times New Roman"/>
          <w:sz w:val="28"/>
          <w:szCs w:val="28"/>
        </w:rPr>
      </w:pPr>
      <w:r>
        <w:rPr>
          <w:rFonts w:ascii="Times New Roman CYR" w:hAnsi="Times New Roman CYR" w:cs="Times New Roman"/>
          <w:sz w:val="28"/>
          <w:szCs w:val="28"/>
        </w:rPr>
      </w:r>
      <w:r>
        <w:rPr>
          <w:rFonts w:ascii="Times New Roman CYR" w:hAnsi="Times New Roman CYR" w:cs="Times New Roman"/>
          <w:sz w:val="28"/>
          <w:szCs w:val="28"/>
        </w:rPr>
      </w:r>
      <w:r>
        <w:rPr>
          <w:rFonts w:ascii="Times New Roman CYR" w:hAnsi="Times New Roman CYR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 CYR" w:hAnsi="Times New Roman CYR" w:cs="Times New Roman"/>
          <w:sz w:val="28"/>
          <w:szCs w:val="28"/>
        </w:rPr>
      </w:pPr>
      <w:r>
        <w:rPr>
          <w:rFonts w:ascii="Times New Roman CYR" w:hAnsi="Times New Roman CYR" w:cs="Times New Roman"/>
          <w:sz w:val="28"/>
          <w:szCs w:val="28"/>
        </w:rPr>
      </w:r>
      <w:r>
        <w:rPr>
          <w:rFonts w:ascii="Times New Roman CYR" w:hAnsi="Times New Roman CYR" w:cs="Times New Roman"/>
          <w:sz w:val="28"/>
          <w:szCs w:val="28"/>
        </w:rPr>
      </w:r>
      <w:r>
        <w:rPr>
          <w:rFonts w:ascii="Times New Roman CYR" w:hAnsi="Times New Roman CYR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 CYR" w:hAnsi="Times New Roman CYR" w:cs="Times New Roman"/>
          <w:sz w:val="28"/>
          <w:szCs w:val="28"/>
        </w:rPr>
      </w:pPr>
      <w:r>
        <w:rPr>
          <w:rFonts w:ascii="Times New Roman CYR" w:hAnsi="Times New Roman CYR" w:cs="Times New Roman"/>
          <w:sz w:val="28"/>
          <w:szCs w:val="28"/>
        </w:rPr>
        <w:t xml:space="preserve">В соответствии со статьей 78 Бюджетного кодекса Российской Федерации, постановлением</w:t>
      </w:r>
      <w:r>
        <w:rPr>
          <w:rFonts w:ascii="Times New Roman CYR" w:hAnsi="Times New Roman CYR" w:cs="Times New Roman"/>
          <w:sz w:val="28"/>
          <w:szCs w:val="28"/>
        </w:rPr>
        <w:t xml:space="preserve"> Правительства Росси</w:t>
      </w:r>
      <w:r>
        <w:rPr>
          <w:rFonts w:ascii="Times New Roman CYR" w:hAnsi="Times New Roman CYR" w:cs="Times New Roman"/>
          <w:sz w:val="28"/>
          <w:szCs w:val="28"/>
        </w:rPr>
        <w:t xml:space="preserve">йской Федерации от 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</w:t>
      </w:r>
      <w:r>
        <w:rPr>
          <w:rFonts w:ascii="Times New Roman CYR" w:hAnsi="Times New Roman CYR" w:cs="Times New Roman"/>
          <w:sz w:val="28"/>
          <w:szCs w:val="28"/>
        </w:rPr>
        <w:t xml:space="preserve">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</w:t>
      </w:r>
      <w:r>
        <w:rPr>
          <w:rFonts w:ascii="Times New Roman CYR" w:hAnsi="Times New Roman CYR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 CYR" w:hAnsi="Times New Roman CYR" w:cs="Times New Roman"/>
          <w:b/>
          <w:sz w:val="28"/>
          <w:szCs w:val="28"/>
        </w:rPr>
        <w:t xml:space="preserve">п</w:t>
      </w:r>
      <w:r>
        <w:rPr>
          <w:rFonts w:ascii="Times New Roman CYR" w:hAnsi="Times New Roman CYR" w:cs="Times New Roman"/>
          <w:b/>
          <w:sz w:val="28"/>
          <w:szCs w:val="28"/>
        </w:rPr>
        <w:t xml:space="preserve"> о с т а н о в л я е т:</w:t>
      </w:r>
      <w:r>
        <w:rPr>
          <w:rFonts w:ascii="Times New Roman CYR" w:hAnsi="Times New Roman CYR" w:cs="Times New Roman"/>
          <w:sz w:val="28"/>
          <w:szCs w:val="28"/>
        </w:rPr>
      </w:r>
      <w:r>
        <w:rPr>
          <w:rFonts w:ascii="Times New Roman CYR" w:hAnsi="Times New Roman CYR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</w:pPr>
      <w:r>
        <w:rPr>
          <w:rFonts w:ascii="Times New Roman CYR" w:hAnsi="Times New Roman CYR" w:eastAsia="Times New Roman" w:cs="Times New Roman"/>
          <w:sz w:val="28"/>
          <w:szCs w:val="28"/>
        </w:rPr>
        <w:t xml:space="preserve">Внести в постановление </w:t>
      </w:r>
      <w:r>
        <w:rPr>
          <w:rFonts w:ascii="Times New Roman CYR" w:hAnsi="Times New Roman CYR" w:eastAsia="Times New Roman" w:cs="Times New Roman"/>
          <w:sz w:val="28"/>
          <w:szCs w:val="28"/>
        </w:rPr>
        <w:t xml:space="preserve">Правительства Новосибирской области от 20.02.2015 № 68-п «Об утверждении государственной программы Новосибирской области «Стимулирование развития жилищного строительства в Новосибирской области»</w:t>
      </w:r>
      <w:r>
        <w:rPr>
          <w:rFonts w:ascii="Times New Roman CYR" w:hAnsi="Times New Roman CYR" w:eastAsia="Times New Roman" w:cs="Times New Roman"/>
          <w:sz w:val="28"/>
          <w:szCs w:val="28"/>
        </w:rPr>
        <w:t xml:space="preserve"> следующие</w:t>
      </w:r>
      <w:r>
        <w:rPr>
          <w:rFonts w:ascii="Times New Roman CYR" w:hAnsi="Times New Roman CYR" w:eastAsia="Times New Roman" w:cs="Times New Roman"/>
          <w:sz w:val="28"/>
          <w:szCs w:val="28"/>
        </w:rPr>
        <w:t xml:space="preserve"> изменени</w:t>
      </w:r>
      <w:r>
        <w:rPr>
          <w:rFonts w:ascii="Times New Roman CYR" w:hAnsi="Times New Roman CYR" w:eastAsia="Times New Roman" w:cs="Times New Roman"/>
          <w:sz w:val="28"/>
          <w:szCs w:val="28"/>
        </w:rPr>
        <w:t xml:space="preserve">я:</w:t>
      </w:r>
      <w:r>
        <w:rPr>
          <w:rFonts w:ascii="Times New Roman CYR" w:hAnsi="Times New Roman CYR" w:eastAsia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1. 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орядке предоставления из областного бюджета Новосибирской области субсидий юридическим лицам (за исключением государственных (муниципальных) учреждений) на финансовое обеспечение реализации инфраструктурных проектов, источником финансового обеспечения расх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одов на реализацию которых являются бюджетные кредиты из федерального бюджета: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1) в пункте 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слова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от 18.09.2020 № 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льным предпринимателям, а также физическим лицам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заменить словами «</w:t>
      </w:r>
      <w:r>
        <w:rPr>
          <w:rFonts w:ascii="Times New Roman CYR" w:hAnsi="Times New Roman CYR" w:cs="Times New Roman"/>
          <w:sz w:val="28"/>
          <w:szCs w:val="28"/>
        </w:rPr>
        <w:t xml:space="preserve">постановлением</w:t>
      </w:r>
      <w:r>
        <w:rPr>
          <w:rFonts w:ascii="Times New Roman CYR" w:hAnsi="Times New Roman CYR" w:cs="Times New Roman"/>
          <w:sz w:val="28"/>
          <w:szCs w:val="28"/>
        </w:rPr>
        <w:t xml:space="preserve"> Правительства Росси</w:t>
      </w:r>
      <w:r>
        <w:rPr>
          <w:rFonts w:ascii="Times New Roman CYR" w:hAnsi="Times New Roman CYR" w:cs="Times New Roman"/>
          <w:sz w:val="28"/>
          <w:szCs w:val="28"/>
        </w:rPr>
        <w:t xml:space="preserve">йской Федерации от 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</w:t>
      </w:r>
      <w:r>
        <w:rPr>
          <w:rFonts w:ascii="Times New Roman CYR" w:hAnsi="Times New Roman CYR" w:cs="Times New Roman"/>
          <w:sz w:val="28"/>
          <w:szCs w:val="28"/>
        </w:rPr>
        <w:t xml:space="preserve"> субсидий, юридическим лицам, индивидуальным предпринимателям, а также физическим лицам </w:t>
      </w:r>
      <w:r/>
      <w:r>
        <w:rPr>
          <w:rFonts w:hint="default" w:ascii="Times New Roman CYR" w:hAnsi="Times New Roman CYR" w:eastAsia="Times New Roman CYR" w:cs="Times New Roman CYR"/>
          <w:sz w:val="28"/>
          <w:szCs w:val="28"/>
        </w:rPr>
        <w:t xml:space="preserve">–</w:t>
      </w:r>
      <w:r/>
      <w:r>
        <w:rPr>
          <w:rFonts w:ascii="Times New Roman CYR" w:hAnsi="Times New Roman CYR" w:cs="Times New Roman"/>
          <w:sz w:val="28"/>
          <w:szCs w:val="28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2) пункт 5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</w:t>
      </w:r>
      <w:r>
        <w:rPr>
          <w:rFonts w:ascii="Times New Roman" w:hAnsi="Times New Roman" w:cs="Times New Roman"/>
          <w:sz w:val="28"/>
          <w:szCs w:val="28"/>
        </w:rPr>
        <w:t xml:space="preserve">. Субсидия предоставляется следующим юридическим лицам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/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–</w:t>
      </w:r>
      <w:r/>
      <w:r>
        <w:rPr>
          <w:rFonts w:ascii="Times New Roman" w:hAnsi="Times New Roman" w:cs="Times New Roman"/>
          <w:sz w:val="28"/>
          <w:szCs w:val="28"/>
        </w:rPr>
        <w:t xml:space="preserve"> получатель субсидии)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1) определенным в приложении № 6 к Закону Новосибирской области от 23.12.2022 № 307-ОЗ «Об областном бюджете Новосибирской области на 2023 год и плановый период 2024 и 2025 годов», на реализацию следующих мероприя</w:t>
      </w:r>
      <w:r>
        <w:rPr>
          <w:rFonts w:ascii="Times New Roman" w:hAnsi="Times New Roman" w:cs="Times New Roman"/>
          <w:sz w:val="28"/>
          <w:szCs w:val="28"/>
        </w:rPr>
        <w:t xml:space="preserve">тий государственной программы:</w:t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Реализация инфраструктурного проекта «Создание объектов инженерной, энергетической и коммунальной инфраструктуры в целях реализации жилищного строительства в п. Озерный Мочищенского сельсовета Новосибирской области» ООО «Специализированный застройщик «Анте</w:t>
      </w:r>
      <w:r>
        <w:rPr>
          <w:rFonts w:ascii="Times New Roman" w:hAnsi="Times New Roman" w:cs="Times New Roman"/>
          <w:sz w:val="28"/>
          <w:szCs w:val="28"/>
        </w:rPr>
        <w:t xml:space="preserve">й»;</w:t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Реализация инфраструктурного проекта «Создание объекта коммунальной инфраструктуры в целях реализации строительства многоквартирных жилых домов с помещениями общественного назначения по ул. Зорге в г. Новосибирске» ООО «Специализированный застройщик «Темпо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1209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 </w:t>
      </w:r>
      <w:r>
        <w:rPr>
          <w:rFonts w:ascii="Times New Roman" w:hAnsi="Times New Roman" w:cs="Times New Roman"/>
          <w:sz w:val="28"/>
          <w:szCs w:val="28"/>
        </w:rPr>
        <w:t xml:space="preserve">определенным в приложении № 6 к Закону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21.12.2023 № 413-ОЗ «Об областном бюджете Новосибирской области на 2024 год и плановый период 2025 и 2026 годов</w:t>
      </w:r>
      <w:r>
        <w:rPr>
          <w:rFonts w:ascii="Times New Roman" w:hAnsi="Times New Roman" w:cs="Times New Roman"/>
          <w:sz w:val="28"/>
          <w:szCs w:val="28"/>
        </w:rPr>
        <w:t xml:space="preserve">», на реализацию следующих мероприя</w:t>
      </w:r>
      <w:r>
        <w:rPr>
          <w:rFonts w:ascii="Times New Roman" w:hAnsi="Times New Roman" w:cs="Times New Roman"/>
          <w:sz w:val="28"/>
          <w:szCs w:val="28"/>
        </w:rPr>
        <w:t xml:space="preserve">тий государственной программы: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1209" w:leader="none"/>
        </w:tabs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Организация комплексного освоения земельных участков в рамках деятельности АО «АРЖС НСО»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(Финансовое обеспечение реализации инфраструктурных проектов за счет бюджетных кредитов, предоставляемых из федерального бюджета)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/>
    </w:p>
    <w:p>
      <w:pPr>
        <w:ind w:left="0" w:right="0" w:firstLine="709"/>
        <w:jc w:val="both"/>
        <w:spacing w:after="0" w:line="240" w:lineRule="auto"/>
        <w:tabs>
          <w:tab w:val="left" w:pos="1209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Инфраструктурное обеспечение территорий для жилищного строительства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(Финансовое обеспечение реализации инфраструктурных проектов за счет бюджетных кредитов, предоставляемых из федерального бюджета 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ООО 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Строительные решения. Специализированный застройщик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1209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3) пункт 7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7. Информация о субсиди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размещается на едином портале бюджетной системы Российской Федерации в информационно-телекоммуникационной сети «Инт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ернет» в соответствии с порядком размещения такой информации, установленным Министерством финансов Российской Федерации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»;</w:t>
      </w:r>
      <w:r>
        <w:rPr>
          <w:color w:val="auto"/>
        </w:rPr>
      </w:r>
      <w:r>
        <w:rPr>
          <w:color w:val="auto"/>
        </w:rPr>
      </w:r>
    </w:p>
    <w:p>
      <w:pPr>
        <w:ind w:left="0" w:right="0" w:firstLine="709"/>
        <w:jc w:val="both"/>
        <w:spacing w:after="0" w:line="240" w:lineRule="auto"/>
        <w:tabs>
          <w:tab w:val="left" w:pos="1209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4) пункт 9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cs="Times New Roman"/>
          <w:sz w:val="28"/>
          <w:szCs w:val="28"/>
        </w:rPr>
        <w:t xml:space="preserve">«9. Получатель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субсидии должен соответствовать на дату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не ранее первого числа месяца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в котором планируется предоставление субсидии, следующим требованиям:</w:t>
      </w:r>
      <w:r>
        <w:rPr>
          <w:color w:val="auto"/>
        </w:rPr>
      </w:r>
      <w:r>
        <w:rPr>
          <w:color w:val="auto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en-US"/>
        </w:rPr>
        <w:t xml:space="preserve">получатель субсидии 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en-US"/>
        </w:rPr>
        <w:t xml:space="preserve">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c0c0c0"/>
          <w:lang w:val="ru-RU" w:bidi="en-US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c0c0c0"/>
          <w:lang w:val="ru-RU" w:bidi="en-US"/>
        </w:rPr>
        <w:t xml:space="preserve">вляется иностранным юридическим лицом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en-US"/>
        </w:rPr>
        <w:t xml:space="preserve">, в том числе местом регистрации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c0c0c0"/>
          <w:lang w:val="ru-RU" w:bidi="en-US"/>
        </w:rPr>
        <w:t xml:space="preserve">которого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en-US"/>
        </w:rPr>
        <w:t xml:space="preserve">является государство или территория, включенные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c0c0c0"/>
          <w:lang w:val="ru-RU" w:bidi="en-US"/>
        </w:rPr>
        <w:t xml:space="preserve">утвержденный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en-US"/>
        </w:rPr>
        <w:t xml:space="preserve">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/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en-US"/>
        </w:rPr>
        <w:t xml:space="preserve">–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en-US"/>
        </w:rPr>
        <w:t xml:space="preserve"> офшорные компании), а также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c0c0c0"/>
          <w:lang w:val="ru-RU" w:bidi="en-US"/>
        </w:rPr>
        <w:t xml:space="preserve">российским юридическим лицом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en-US"/>
        </w:rPr>
        <w:t xml:space="preserve">, в уставном (складочном) капитале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c0c0c0"/>
          <w:lang w:val="ru-RU" w:bidi="en-US"/>
        </w:rPr>
        <w:t xml:space="preserve">которого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en-US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en-US"/>
        </w:rPr>
        <w:t xml:space="preserve">но законодате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en-US"/>
        </w:rPr>
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en-US"/>
        </w:rPr>
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ff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bidi="en-US"/>
        </w:rPr>
        <w:t xml:space="preserve">получатель субсидии не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c0c0c0"/>
          <w:lang w:val="ru-RU" w:bidi="en-US"/>
        </w:rPr>
        <w:t xml:space="preserve">находится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en-US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ff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line="240" w:lineRule="auto"/>
        <w:shd w:val="nil" w:color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  <w:t xml:space="preserve">получатель субсидии не находится в составляемых в рамках реализации полномочий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  <w:t xml:space="preserve">предусмотренных главой VII Ус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  <w:t xml:space="preserve">ористами или с распространением оружия массового уничтожения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shd w:val="nil" w:color="auto"/>
        <w:rPr>
          <w:color w:val="auto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получатель субсидии не получает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средства из областного бюджета Новосибирской области на основании иных нормативных правовых актов Новосибирской области на цели, указанные в пункте 4 настоящего Порядка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shd w:val="nil" w:color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) получатель субсидии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  <w:t xml:space="preserve">не является иностранным агентом в соответствии с Федеральным законом «О контроле за деятельностью лиц, находящихся под иностранным влиянием»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shd w:val="nil" w:color="auto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  <w:t xml:space="preserve"> у получателя субсидии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  <w:t xml:space="preserve"> по уплате налогов, сборов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  <w:t xml:space="preserve"> страховых взносов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  <w:t xml:space="preserve">в бюджеты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en-US"/>
        </w:rPr>
        <w:t xml:space="preserve">бюджетной системы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en-US"/>
        </w:rPr>
        <w:t xml:space="preserve">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line="240" w:lineRule="auto"/>
        <w:shd w:val="clear" w:color="auto" w:fil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7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 w:bidi="en-US"/>
        </w:rPr>
        <w:t xml:space="preserve"> у получателя субсидии отсутствуют просроченная задолженность по возврату в областной бюджет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 w:bidi="en-US"/>
        </w:rPr>
        <w:t xml:space="preserve"> иных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 w:bidi="en-US"/>
        </w:rPr>
        <w:t xml:space="preserve">субси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 w:bidi="en-US"/>
        </w:rPr>
        <w:t xml:space="preserve">дий, бюджетных инвестиций, а также иная просроченная (неурегулированная) задолженность по денежным обязательствам перед Новосибирской областью (за исключением случаев, установленных Правительством Новосибирской области);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shd w:val="clear" w:color="auto" w:fil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 w:bidi="en-US"/>
        </w:rPr>
        <w:t xml:space="preserve">8) получатель субсидии не находится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 w:bidi="en-US"/>
        </w:rPr>
        <w:t xml:space="preserve">в процессе реорганизации (за исключ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 w:bidi="en-US"/>
        </w:rPr>
        <w:t xml:space="preserve">ением реорганизации в форме присоединения к юридическому лицу, являющемус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 w:bidi="en-US"/>
        </w:rPr>
        <w:t xml:space="preserve">я получателем субсидии,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 w:bidi="en-US"/>
        </w:rPr>
        <w:t xml:space="preserve"> другого юридического лица), ликвидации, в отношении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 w:bidi="en-US"/>
        </w:rPr>
        <w:t xml:space="preserve">его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 w:bidi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 w:bidi="en-US"/>
        </w:rPr>
        <w:t xml:space="preserve">не введена процедура банкротства, деятельность получателя субсидии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 w:bidi="en-US"/>
        </w:rPr>
        <w:t xml:space="preserve"> не приостановлена в порядке, предусмотренном законодательством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shd w:val="clear" w:color="auto" w:fil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 w:bidi="en-US"/>
        </w:rPr>
        <w:t xml:space="preserve">9)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 w:bidi="en-US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 w:bidi="en-US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 w:bidi="en-US"/>
        </w:rPr>
        <w:t xml:space="preserve">ии единоличного исполнительного органа, или главном бухгалтере (при наличии) получателя субсидии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shd w:val="clear" w:color="auto" w:fil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5) в пункте 10: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shd w:val="clear" w:color="auto" w:fil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а) подпункт 6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shd w:val="clear" w:color="auto" w:fil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«6) </w:t>
      </w:r>
      <w:r>
        <w:rPr>
          <w:rFonts w:ascii="Times New Roman" w:hAnsi="Times New Roman" w:cs="Times New Roman"/>
          <w:sz w:val="28"/>
          <w:szCs w:val="28"/>
        </w:rPr>
        <w:t xml:space="preserve">справку, подписанную руководителем получателя субсидии, подтверждающую, что у получателя субсидии на едином налоговом счете отсутствует или не превышает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размера, определенного пунктом 3 статьи 47 Налогового кодекса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задолженнос</w:t>
      </w:r>
      <w:r>
        <w:rPr>
          <w:rFonts w:ascii="Times New Roman" w:hAnsi="Times New Roman" w:cs="Times New Roman"/>
          <w:sz w:val="28"/>
          <w:szCs w:val="28"/>
        </w:rPr>
        <w:t xml:space="preserve">ть по уплате налогов, сборов, страховых взносов в бюджеты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не ранее чем на первое число месяца, в котором планируется предоставление субсидии;»;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line="240" w:lineRule="auto"/>
        <w:shd w:val="clear" w:color="auto" w:fill="auto"/>
        <w:tabs>
          <w:tab w:val="left" w:pos="1209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 дополнить подпунктом 14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shd w:val="clear" w:color="auto" w:fill="auto"/>
        <w:tabs>
          <w:tab w:val="left" w:pos="1209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«14) 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правку, в свободной форме, подписанную руководителем получателя субсидии, подтверждающую, что получатель субсидии не находится в перечне организаций и физических лиц, в отношении которых имеются сведения об их причастности к экстрем</w:t>
      </w:r>
      <w:r>
        <w:rPr>
          <w:rFonts w:ascii="Times New Roman" w:hAnsi="Times New Roman" w:cs="Times New Roman"/>
          <w:sz w:val="28"/>
          <w:szCs w:val="28"/>
        </w:rPr>
        <w:t xml:space="preserve">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иностранным агентом, в соответствии с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shd w:val="clear" w:color="auto" w:fill="auto"/>
        <w:tabs>
          <w:tab w:val="left" w:pos="1209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6) пункт 19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shd w:val="clear" w:color="auto" w:fill="auto"/>
        <w:tabs>
          <w:tab w:val="left" w:pos="1209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«19.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  <w:t xml:space="preserve">Результат предоставления субсидии, его тип, характерист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  <w:t xml:space="preserve"> (характеристики) результата указываются в соответствии с информацией о мероприятии (результате), типе мероприятия (результата) и его характеристиках (при наличии), содержащихся в паспортах структурных элементов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  <w:t xml:space="preserve">государственной программы.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en-US"/>
        </w:rPr>
      </w:r>
    </w:p>
    <w:p>
      <w:pPr>
        <w:ind w:left="0" w:right="0" w:firstLine="992"/>
        <w:jc w:val="both"/>
        <w:spacing w:after="0" w:line="240" w:lineRule="auto"/>
        <w:shd w:val="clear" w:color="auto" w:fill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99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99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 CYR" w:hAnsi="Times New Roman CYR" w:eastAsia="Times New Roman" w:cs="Times New Roman"/>
          <w:sz w:val="28"/>
          <w:szCs w:val="28"/>
          <w:lang w:eastAsia="ru-RU"/>
        </w:rPr>
      </w:pPr>
      <w:r>
        <w:rPr>
          <w:rFonts w:ascii="Times New Roman CYR" w:hAnsi="Times New Roman CYR" w:eastAsia="Times New Roman" w:cs="Times New Roman"/>
          <w:sz w:val="28"/>
          <w:szCs w:val="28"/>
          <w:lang w:eastAsia="ru-RU"/>
        </w:rPr>
        <w:t xml:space="preserve">Губернатор Новосибирской области </w:t>
      </w:r>
      <w:r>
        <w:rPr>
          <w:rFonts w:ascii="Times New Roman CYR" w:hAnsi="Times New Roman CYR" w:eastAsia="Times New Roman" w:cs="Times New Roman"/>
          <w:sz w:val="28"/>
          <w:szCs w:val="28"/>
          <w:lang w:eastAsia="ru-RU"/>
        </w:rPr>
        <w:tab/>
      </w:r>
      <w:r>
        <w:rPr>
          <w:rFonts w:ascii="Times New Roman CYR" w:hAnsi="Times New Roman CYR" w:eastAsia="Times New Roman" w:cs="Times New Roman"/>
          <w:sz w:val="28"/>
          <w:szCs w:val="28"/>
          <w:lang w:eastAsia="ru-RU"/>
        </w:rPr>
        <w:tab/>
        <w:t xml:space="preserve">                                А.А. Травников</w:t>
      </w:r>
      <w:r>
        <w:rPr>
          <w:rFonts w:ascii="Times New Roman CYR" w:hAnsi="Times New Roman CYR" w:eastAsia="Times New Roman" w:cs="Times New Roman"/>
          <w:sz w:val="28"/>
          <w:szCs w:val="28"/>
          <w:lang w:eastAsia="ru-RU"/>
        </w:rPr>
      </w:r>
      <w:r>
        <w:rPr>
          <w:rFonts w:ascii="Times New Roman CYR" w:hAnsi="Times New Roman CYR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А.В. Колмаков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228 64 00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jc w:val="center"/>
      <w:rPr>
        <w:rFonts w:ascii="Times New Roman" w:hAnsi="Times New Roman" w:cs="Times New Roman"/>
        <w:sz w:val="20"/>
        <w:szCs w:val="20"/>
      </w:rPr>
    </w:pPr>
    <w:fldSimple w:instr="PAGE \* MERGEFORMAT"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</w:fldSimple>
    <w:r>
      <w:rPr>
        <w:rFonts w:ascii="Times New Roman" w:hAnsi="Times New Roman" w:eastAsia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  <w:p>
    <w:pPr>
      <w:pStyle w:val="72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6"/>
    <w:next w:val="876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7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6"/>
    <w:next w:val="876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7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6"/>
    <w:next w:val="876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7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6"/>
    <w:next w:val="876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7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6"/>
    <w:next w:val="876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7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6"/>
    <w:next w:val="876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7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6"/>
    <w:next w:val="876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7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6"/>
    <w:next w:val="876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7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6"/>
    <w:next w:val="876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7"/>
    <w:link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6"/>
    <w:next w:val="876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basedOn w:val="877"/>
    <w:link w:val="718"/>
    <w:uiPriority w:val="10"/>
    <w:rPr>
      <w:sz w:val="48"/>
      <w:szCs w:val="48"/>
    </w:rPr>
  </w:style>
  <w:style w:type="paragraph" w:styleId="720">
    <w:name w:val="Subtitle"/>
    <w:basedOn w:val="876"/>
    <w:next w:val="876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7"/>
    <w:link w:val="720"/>
    <w:uiPriority w:val="11"/>
    <w:rPr>
      <w:sz w:val="24"/>
      <w:szCs w:val="24"/>
    </w:rPr>
  </w:style>
  <w:style w:type="paragraph" w:styleId="722">
    <w:name w:val="Quote"/>
    <w:basedOn w:val="876"/>
    <w:next w:val="876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6"/>
    <w:next w:val="876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6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7"/>
    <w:link w:val="726"/>
    <w:uiPriority w:val="99"/>
  </w:style>
  <w:style w:type="paragraph" w:styleId="728">
    <w:name w:val="Footer"/>
    <w:basedOn w:val="876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7"/>
    <w:link w:val="728"/>
    <w:uiPriority w:val="99"/>
  </w:style>
  <w:style w:type="paragraph" w:styleId="730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87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7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7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qFormat/>
  </w:style>
  <w:style w:type="character" w:styleId="877" w:default="1">
    <w:name w:val="Default Paragraph Font"/>
    <w:uiPriority w:val="1"/>
    <w:semiHidden/>
    <w:unhideWhenUsed/>
  </w:style>
  <w:style w:type="table" w:styleId="8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uiPriority w:val="99"/>
    <w:semiHidden/>
    <w:unhideWhenUsed/>
  </w:style>
  <w:style w:type="paragraph" w:styleId="880">
    <w:name w:val="List Paragraph"/>
    <w:basedOn w:val="876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Касатеева Клавдия Сергеевна</dc:creator>
  <cp:revision>18</cp:revision>
  <dcterms:created xsi:type="dcterms:W3CDTF">2022-01-28T08:02:00Z</dcterms:created>
  <dcterms:modified xsi:type="dcterms:W3CDTF">2024-03-19T08:52:21Z</dcterms:modified>
</cp:coreProperties>
</file>