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before="0" w:after="0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ПРИЛОЖЕНИЕ № 2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10490"/>
        <w:jc w:val="center"/>
        <w:spacing w:before="0" w:after="0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к постановлению Правительства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10490"/>
        <w:jc w:val="center"/>
        <w:spacing w:before="0" w:after="0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Новосибирской области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10490"/>
        <w:jc w:val="center"/>
        <w:spacing w:before="0" w:after="0"/>
        <w:widowControl w:val="off"/>
        <w:rPr>
          <w:rFonts w:eastAsia="Calibri"/>
          <w:sz w:val="28"/>
          <w:szCs w:val="28"/>
          <w:lang w:eastAsia="en-US"/>
        </w:rPr>
        <w:outlineLvl w:val="1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10490"/>
        <w:jc w:val="center"/>
        <w:spacing w:before="0" w:after="0"/>
        <w:widowControl w:val="off"/>
        <w:rPr>
          <w:rFonts w:eastAsia="Calibri"/>
          <w:sz w:val="28"/>
          <w:szCs w:val="28"/>
          <w:lang w:eastAsia="en-US"/>
        </w:rPr>
        <w:outlineLvl w:val="1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10490"/>
        <w:jc w:val="center"/>
        <w:spacing w:before="0" w:after="0"/>
        <w:widowControl w:val="off"/>
        <w:rPr>
          <w:rFonts w:eastAsia="Calibri"/>
          <w:sz w:val="28"/>
          <w:szCs w:val="28"/>
          <w:lang w:eastAsia="en-US"/>
        </w:rPr>
        <w:outlineLvl w:val="1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10490"/>
        <w:jc w:val="center"/>
        <w:spacing w:before="0" w:after="0"/>
        <w:widowControl w:val="off"/>
        <w:rPr>
          <w:rFonts w:eastAsia="Calibri"/>
          <w:sz w:val="28"/>
          <w:szCs w:val="28"/>
          <w:lang w:eastAsia="en-US"/>
        </w:rPr>
        <w:outlineLvl w:val="1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10490"/>
        <w:jc w:val="center"/>
        <w:spacing w:before="0" w:after="0"/>
        <w:widowControl w:val="off"/>
        <w:rPr>
          <w:sz w:val="28"/>
          <w:szCs w:val="28"/>
        </w:rPr>
        <w:outlineLvl w:val="1"/>
      </w:pPr>
      <w:r>
        <w:rPr>
          <w:rFonts w:eastAsia="Calibri"/>
          <w:sz w:val="28"/>
          <w:szCs w:val="28"/>
          <w:lang w:eastAsia="en-US"/>
        </w:rPr>
        <w:t xml:space="preserve">«ПРИЛОЖЕНИЕ №</w:t>
      </w:r>
      <w:r>
        <w:rPr>
          <w:sz w:val="28"/>
          <w:szCs w:val="28"/>
        </w:rPr>
        <w:t xml:space="preserve"> 2.1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государственной программе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«Развитие лесного хозяйства Новосибирской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b/>
          <w:sz w:val="28"/>
          <w:szCs w:val="28"/>
        </w:rPr>
      </w:pPr>
      <w:r/>
      <w:bookmarkStart w:id="1" w:name="P952"/>
      <w:r/>
      <w:bookmarkEnd w:id="1"/>
      <w:r>
        <w:rPr>
          <w:b/>
          <w:sz w:val="28"/>
          <w:szCs w:val="28"/>
        </w:rPr>
        <w:t xml:space="preserve">ОСНОВНЫЕ МЕРОПРИЯТИЯ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программы 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лесного хозяйства Новосибирской области» с 2019 года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0"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276"/>
        <w:gridCol w:w="567"/>
        <w:gridCol w:w="567"/>
        <w:gridCol w:w="567"/>
        <w:gridCol w:w="567"/>
        <w:gridCol w:w="1162"/>
        <w:gridCol w:w="1162"/>
        <w:gridCol w:w="1162"/>
        <w:gridCol w:w="1162"/>
        <w:gridCol w:w="1162"/>
        <w:gridCol w:w="1701"/>
        <w:gridCol w:w="2665"/>
      </w:tblGrid>
      <w:tr>
        <w:trPr>
          <w:trHeight w:val="20"/>
          <w:tblHeader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Наименование мероприятия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gridSpan w:val="10"/>
            <w:tcMar>
              <w:left w:w="57" w:type="dxa"/>
              <w:top w:w="28" w:type="dxa"/>
              <w:right w:w="57" w:type="dxa"/>
              <w:bottom w:w="28" w:type="dxa"/>
            </w:tcMar>
            <w:tcW w:w="9354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Ресурсное обеспечение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ГРБС (ответственный исполнитель)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Ожидаемый результат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(краткое описание)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>
          <w:trHeight w:val="207"/>
          <w:tblHeader/>
        </w:trPr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gridSpan w:val="4"/>
            <w:tcMar>
              <w:left w:w="57" w:type="dxa"/>
              <w:top w:w="28" w:type="dxa"/>
              <w:right w:w="57" w:type="dxa"/>
              <w:bottom w:w="28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код бюджетной классификации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gridSpan w:val="5"/>
            <w:tcMar>
              <w:left w:w="57" w:type="dxa"/>
              <w:top w:w="28" w:type="dxa"/>
              <w:right w:w="57" w:type="dxa"/>
              <w:bottom w:w="28" w:type="dxa"/>
            </w:tcMar>
            <w:tcW w:w="5811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 годам реализации, тыс. руб.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>
          <w:trHeight w:val="20"/>
          <w:tblHeader/>
        </w:trPr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ГРБС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ГП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пГП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ОМ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2019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2020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2021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2022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2023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>
          <w:trHeight w:val="262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4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6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7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8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9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gridSpan w:val="13"/>
            <w:tcW w:w="15704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  <w:outlineLvl w:val="2"/>
            </w:pPr>
            <w:r>
              <w:rPr>
                <w:spacing w:val="-6"/>
                <w:sz w:val="18"/>
                <w:szCs w:val="18"/>
              </w:rPr>
              <w:t xml:space="preserve">1. Цель государственной программы: повышение эффекти</w:t>
            </w:r>
            <w:r>
              <w:rPr>
                <w:spacing w:val="-6"/>
                <w:sz w:val="18"/>
                <w:szCs w:val="18"/>
              </w:rPr>
              <w:t xml:space="preserve">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ресурсноэкологического потенциала и глобальных функций лесов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О1. Общепро</w:t>
            </w:r>
            <w:r>
              <w:rPr>
                <w:spacing w:val="-6"/>
                <w:sz w:val="18"/>
                <w:szCs w:val="18"/>
              </w:rPr>
              <w:t xml:space="preserve">граммное мероприятие Региональный проект «Сохранение лесов»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GA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МПР НСО, организации, выполняющие работы в рамках государственного задания, арендаторы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лесных участков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Позволит на всех участках вырубленных и погибших лесных насаждений обеспечить проведение лесовосстановления и тем самым обеспечить в течение 2019–2023 гг. отношение площади лесовосстановления к площади вырубленных и погибших лесных </w:t>
            </w:r>
            <w:r>
              <w:rPr>
                <w:spacing w:val="-6"/>
                <w:sz w:val="18"/>
                <w:szCs w:val="18"/>
              </w:rPr>
              <w:t xml:space="preserve">насаждений на уровне </w:t>
            </w:r>
            <w:r>
              <w:rPr>
                <w:spacing w:val="-6"/>
                <w:sz w:val="18"/>
                <w:szCs w:val="18"/>
              </w:rPr>
              <w:t xml:space="preserve">не менее 100% за счет проведения мероприятий по лесовосстановлению, закупке лесопожарной и лесохозяйственной техники для государственных автономных учреждений Новосибирской области, выполняющих комплекс мероприятий по охране, защите и воспроизводству лесов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GA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ind w:hanging="42"/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117 676,5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77 489,4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214 622,4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179 655,6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63 797,9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24 164,3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58 084,9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43 688,0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57 931,</w:t>
            </w:r>
            <w:r>
              <w:rPr>
                <w:spacing w:val="-6"/>
                <w:sz w:val="18"/>
                <w:szCs w:val="18"/>
              </w:rPr>
              <w:t xml:space="preserve">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44 120,8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gridSpan w:val="13"/>
            <w:tcMar>
              <w:left w:w="57" w:type="dxa"/>
              <w:top w:w="0" w:type="dxa"/>
              <w:right w:w="57" w:type="dxa"/>
              <w:bottom w:w="0" w:type="dxa"/>
            </w:tcMar>
            <w:tcW w:w="15704" w:type="dxa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rPr>
                <w:spacing w:val="-6"/>
                <w:sz w:val="18"/>
                <w:szCs w:val="18"/>
              </w:rPr>
              <w:outlineLvl w:val="3"/>
            </w:pPr>
            <w:r>
              <w:rPr>
                <w:spacing w:val="-6"/>
                <w:sz w:val="18"/>
                <w:szCs w:val="18"/>
              </w:rPr>
              <w:t xml:space="preserve">1.1. Задача 1 цели государстве</w:t>
            </w:r>
            <w:r>
              <w:rPr>
                <w:spacing w:val="-6"/>
                <w:sz w:val="18"/>
                <w:szCs w:val="18"/>
              </w:rPr>
              <w:t xml:space="preserve">нной программы: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gridSpan w:val="13"/>
            <w:tcMar>
              <w:left w:w="57" w:type="dxa"/>
              <w:top w:w="0" w:type="dxa"/>
              <w:right w:w="57" w:type="dxa"/>
              <w:bottom w:w="0" w:type="dxa"/>
            </w:tcMar>
            <w:tcW w:w="15704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  <w:outlineLvl w:val="4"/>
            </w:pPr>
            <w:r>
              <w:rPr>
                <w:spacing w:val="-6"/>
                <w:sz w:val="18"/>
                <w:szCs w:val="18"/>
              </w:rPr>
              <w:t xml:space="preserve">1.1.1. Подпрограмма 1 государственной программы «Обеспечение использования, охраны, защиты и воспроизводства лесов»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gridSpan w:val="13"/>
            <w:tcMar>
              <w:left w:w="57" w:type="dxa"/>
              <w:top w:w="0" w:type="dxa"/>
              <w:right w:w="57" w:type="dxa"/>
              <w:bottom w:w="0" w:type="dxa"/>
            </w:tcMar>
            <w:tcW w:w="15704" w:type="dxa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rPr>
                <w:spacing w:val="-6"/>
                <w:sz w:val="18"/>
                <w:szCs w:val="18"/>
              </w:rPr>
              <w:outlineLvl w:val="5"/>
            </w:pPr>
            <w:r>
              <w:rPr>
                <w:spacing w:val="-6"/>
                <w:sz w:val="18"/>
                <w:szCs w:val="18"/>
              </w:rPr>
              <w:t xml:space="preserve">1.1.1.1. Цель </w:t>
            </w:r>
            <w:r>
              <w:rPr>
                <w:spacing w:val="-6"/>
                <w:sz w:val="18"/>
                <w:szCs w:val="18"/>
              </w:rPr>
              <w:t xml:space="preserve">подпрограммы 1: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gridSpan w:val="13"/>
            <w:tcMar>
              <w:left w:w="57" w:type="dxa"/>
              <w:top w:w="0" w:type="dxa"/>
              <w:right w:w="57" w:type="dxa"/>
              <w:bottom w:w="0" w:type="dxa"/>
            </w:tcMar>
            <w:tcW w:w="15704" w:type="dxa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rPr>
                <w:spacing w:val="-6"/>
                <w:sz w:val="18"/>
                <w:szCs w:val="18"/>
              </w:rPr>
              <w:outlineLvl w:val="6"/>
            </w:pPr>
            <w:r>
              <w:rPr>
                <w:spacing w:val="-6"/>
                <w:sz w:val="18"/>
                <w:szCs w:val="18"/>
              </w:rPr>
              <w:t xml:space="preserve">1.1.1.1.1. Задача 1 цели подпрограммы 1 государственной программы: повышение эффективности предупреждения и сокращения потерь лесного хозяйства от пожаров и вредных организмов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>
          <w:trHeight w:val="529"/>
        </w:trPr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1.1.1.1.1.1. Осуществ</w:t>
            </w:r>
            <w:r>
              <w:rPr>
                <w:spacing w:val="-6"/>
                <w:sz w:val="18"/>
                <w:szCs w:val="18"/>
              </w:rPr>
              <w:t xml:space="preserve">ление мер пожарной безопасности в лесах и защиты лесов от вредных организмов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58 640,0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31 </w:t>
            </w:r>
            <w:r>
              <w:rPr>
                <w:spacing w:val="-6"/>
                <w:sz w:val="18"/>
                <w:szCs w:val="18"/>
              </w:rPr>
              <w:t xml:space="preserve">545,4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31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602,9</w:t>
            </w:r>
            <w:r>
              <w:rPr>
                <w:color w:val="000000"/>
                <w:spacing w:val="-6"/>
                <w:sz w:val="18"/>
                <w:szCs w:val="18"/>
              </w:rPr>
            </w:r>
            <w:r>
              <w:rPr>
                <w:color w:val="000000"/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59 563,5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159 172,9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МПР НСО, организации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Позволит обеспечить в период 2019 - 2023 гг. долю лесных пожаров, ликвидированных в течение первых суток с момента обнаружения, в общем количестве лесных пожаров на уровне не менее 99,95% (среднемноголетнее значение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 2010 - 2014 гг. - 88,16%,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:highlight w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2012 - 20</w:t>
            </w:r>
            <w:r>
              <w:rPr>
                <w:spacing w:val="-6"/>
                <w:sz w:val="18"/>
                <w:szCs w:val="18"/>
              </w:rPr>
              <w:t xml:space="preserve">16 гг. - 95,67%,</w:t>
            </w:r>
            <w:r>
              <w:rPr>
                <w:spacing w:val="-6"/>
                <w:sz w:val="18"/>
                <w:szCs w:val="18"/>
                <w:highlight w:val="none"/>
              </w:rPr>
            </w:r>
            <w:r>
              <w:rPr>
                <w:spacing w:val="-6"/>
                <w:sz w:val="18"/>
                <w:szCs w:val="18"/>
                <w:highlight w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 2014 - 2018 гг. - 99,94%,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 2015 - 2019 гг. - 100%,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 2016 - 2020 гг. - 99,94%,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 2017 - 2021 гг. - 98,26%,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 2018 - 2022 гг. - 97,28%,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:highlight w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2019–2023 гг. – 97,18%.</w:t>
            </w:r>
            <w:r>
              <w:rPr>
                <w:spacing w:val="-6"/>
                <w:sz w:val="18"/>
                <w:szCs w:val="18"/>
              </w:rPr>
              <w:t xml:space="preserve">).</w:t>
            </w:r>
            <w:r>
              <w:rPr>
                <w:spacing w:val="-6"/>
                <w:sz w:val="18"/>
                <w:szCs w:val="18"/>
                <w:highlight w:val="none"/>
              </w:rPr>
            </w:r>
            <w:r>
              <w:rPr>
                <w:spacing w:val="-6"/>
                <w:sz w:val="18"/>
                <w:szCs w:val="18"/>
                <w:highlight w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</w:t>
            </w:r>
            <w:r>
              <w:rPr>
                <w:spacing w:val="-6"/>
                <w:sz w:val="18"/>
                <w:szCs w:val="18"/>
              </w:rPr>
              <w:t xml:space="preserve">беспечит предотвращение распространения огня на территории земель лесного фонда. Позволит улучшить санитарное состояние лесов, уменьшить угрозу распространения вредных организмов и тем самым снизить к концу 2023 года долю площади погибших и поврежденных ле</w:t>
            </w:r>
            <w:r>
              <w:rPr>
                <w:spacing w:val="-6"/>
                <w:sz w:val="18"/>
                <w:szCs w:val="18"/>
              </w:rPr>
              <w:t xml:space="preserve">сных насаждений с учетом проведенных мероприятий по защите леса в общей площади земель лесного фонда, занятых лесными насаждениями, до уровня 0,1%.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>
          <w:trHeight w:val="510"/>
        </w:trPr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66 829,0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64 </w:t>
            </w:r>
            <w:r>
              <w:rPr>
                <w:spacing w:val="-6"/>
                <w:sz w:val="18"/>
                <w:szCs w:val="18"/>
              </w:rPr>
              <w:t xml:space="preserve">336,1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57 </w:t>
            </w:r>
            <w:r>
              <w:rPr>
                <w:spacing w:val="-6"/>
                <w:sz w:val="18"/>
                <w:szCs w:val="18"/>
              </w:rPr>
              <w:t xml:space="preserve">452,3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145 524,1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183 261,0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>
          <w:trHeight w:val="510"/>
        </w:trPr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>
          <w:trHeight w:val="510"/>
        </w:trPr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127 566,70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128 531,8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120 728,4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108 531,2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  <w:t xml:space="preserve">25 899,9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>
          <w:trHeight w:val="674"/>
        </w:trPr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gridSpan w:val="13"/>
            <w:tcMar>
              <w:left w:w="57" w:type="dxa"/>
              <w:top w:w="0" w:type="dxa"/>
              <w:right w:w="57" w:type="dxa"/>
              <w:bottom w:w="0" w:type="dxa"/>
            </w:tcMar>
            <w:tcW w:w="15704" w:type="dxa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rPr>
                <w:spacing w:val="-6"/>
                <w:sz w:val="18"/>
                <w:szCs w:val="18"/>
              </w:rPr>
              <w:outlineLvl w:val="6"/>
            </w:pPr>
            <w:r>
              <w:rPr>
                <w:spacing w:val="-6"/>
                <w:sz w:val="18"/>
                <w:szCs w:val="18"/>
              </w:rPr>
              <w:t xml:space="preserve">1.1.1.1.2. Задача 2 цели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1.1.1.1.2.1. Лесоустройство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9 500,0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913,2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МПР НСО, организации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 результатам размещения государственного заказа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Получение актуальных материалов лесоустройства позволит осуществлять рациональное и неистощительное использование лесных ресурсов, развитие лесохозяйственной деятельности.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Планируется за счет федерального бюджета произвести таксацию лесов, включая подготовительные работы по таксации лесов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ffffff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2 200,0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ffffff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7 103,4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4 374,9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1.1.1.1.2.2. Осуществление мероприятий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 обеспечению использования лесов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О</w:t>
            </w:r>
            <w:r>
              <w:rPr>
                <w:spacing w:val="-6"/>
                <w:sz w:val="18"/>
                <w:szCs w:val="18"/>
              </w:rPr>
              <w:t xml:space="preserve">беспечение подготовки лесосечного фонда для использования в целях заготовки древесины при реализации договоров аренды, договоров купли-продажи лесных насаждений, а именно: проведение отвода лесосек позволит осуществлять лесозаготовительную деятельность в п</w:t>
            </w:r>
            <w:r>
              <w:rPr>
                <w:spacing w:val="-6"/>
                <w:sz w:val="18"/>
                <w:szCs w:val="18"/>
              </w:rPr>
              <w:t xml:space="preserve">ределах расчетной лесосеки.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Позволит обеспечить к концу 2023 года долю объема заготовки древесины выборочными рубками в общем объеме заготовки древесины на уровне не ниже 72,61% (среднемноголетнее значение: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2010 - 2014 гг. - 65%,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2012 - 2016 гг. - 70,6%,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2014 - 2018 гг. - 70,4%,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2015 - 2019 гг. - 70,6%,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2016 - 2020 гг. - 70,94%,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2017 - 2021 гг. - 72,87%,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2018 - 2022 гг. - 72,61%, 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2019–2023 гг. – 72,47%</w:t>
            </w:r>
            <w:r>
              <w:rPr>
                <w:spacing w:val="-6"/>
                <w:sz w:val="18"/>
                <w:szCs w:val="18"/>
              </w:rPr>
              <w:t xml:space="preserve">).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Планируется обеспечить долю площади земель лесного фонда, переданных в пользование, в общей площади земель лесного фонда на территории Новосибирской области на уровне не менее 28,9% ежегодно.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Позволит определить доступность к лесным насаждениям и тем самым увеличить к концу 2023 года отношение фактического объема заготовки древесины к установленному объему изъятия древесины на уровне не ниже 18,9% (среднемноголетнее значение: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2014 - 2018 гг. - 20,1%,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2015 - 2019 гг. - 20,3%,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2016 - 2020 гг. - 20,0%,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2017 - 2021 гг. - 20,7%,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2018 - 2022 гг. - 20,2%, 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за 2019–2023 гг. – 19,9%</w:t>
            </w:r>
            <w:r>
              <w:rPr>
                <w:spacing w:val="-6"/>
                <w:sz w:val="18"/>
                <w:szCs w:val="18"/>
              </w:rPr>
              <w:t xml:space="preserve">).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Позволит обеспечить проведение отводов лесосек на общей площади </w:t>
            </w:r>
            <w:r>
              <w:rPr>
                <w:spacing w:val="-6"/>
                <w:sz w:val="18"/>
                <w:szCs w:val="18"/>
              </w:rPr>
              <w:t xml:space="preserve">147,24</w:t>
            </w:r>
            <w:r>
              <w:rPr>
                <w:spacing w:val="-6"/>
                <w:sz w:val="18"/>
                <w:szCs w:val="18"/>
              </w:rPr>
              <w:t xml:space="preserve">  тыс. га.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408,3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13 393,0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trike/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trike/>
                <w:spacing w:val="-6"/>
                <w:sz w:val="18"/>
                <w:szCs w:val="18"/>
              </w:rPr>
            </w:r>
            <w:r>
              <w:rPr>
                <w:strike/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136 794,4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17 747,9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27 857,5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31 776,3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39 844,1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1.1.1.1.2.3. 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04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5 612,1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5 766,1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6 093,6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6 351,4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7 692,3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МПР НСО, организации, выполняющие работы в рамках государственного задания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Позволит сохранить целостность уникального ландшафтного комплекса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04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1.1.1.1.2.4. Разработка проектной документации по проектированию (изменению) границ лесопарковых и зеленых зон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1 563,7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278,0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755,9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600,0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МПР НСО, организации по результатам размещения государственного заказа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Позволит создать условия для создания оптимальной, максимально комфортной для проживания структуры территории города Новосибирска и территорий, прилегающих к городу Новосибирску районов Новосибирской области, сохранить лесопарковые и зеленые зоны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 существующих объемах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  <w:t xml:space="preserve">1.1.1.1.2.5. Выполнение работ по оцифровке материалов лесоустройства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06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9 500,0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МПР НСО, организации по результатам размещения государственного заказа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  <w:t xml:space="preserve">М</w:t>
            </w:r>
            <w:r>
              <w:rPr>
                <w:spacing w:val="-6"/>
                <w:sz w:val="18"/>
                <w:szCs w:val="18"/>
              </w:rPr>
              <w:t xml:space="preserve">атериалы лесоустройства, хранящиеся в бумажном виде (планы лесонасаждений, планшеты, таксационное описание), содержащиеся в Государственном лесном реестре, приведены в цифровой вид, создана и наполнена семантическая база данных сведений о лесах (количестве</w:t>
            </w:r>
            <w:r>
              <w:rPr>
                <w:spacing w:val="-6"/>
                <w:sz w:val="18"/>
                <w:szCs w:val="18"/>
              </w:rPr>
              <w:t xml:space="preserve">нные и качественные характеристики)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06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13"/>
            <w:tcMar>
              <w:left w:w="57" w:type="dxa"/>
              <w:top w:w="0" w:type="dxa"/>
              <w:right w:w="57" w:type="dxa"/>
              <w:bottom w:w="0" w:type="dxa"/>
            </w:tcMar>
            <w:tcW w:w="15704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  <w:outlineLvl w:val="6"/>
            </w:pPr>
            <w:r>
              <w:rPr>
                <w:spacing w:val="-6"/>
                <w:sz w:val="18"/>
                <w:szCs w:val="18"/>
              </w:rPr>
              <w:t xml:space="preserve">1.1.1.1.3. Задача 3 цели подпрограммы 1 государственной программы: повышение качества семян, улучшение селекционных и генетических свойств посадочного материала, восстановление погибших и вырубленных лесов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1.1.1.1.3.1. Осуществление мероприятий по воспроизводству лесов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06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</w:pPr>
            <w:r>
              <w:rPr>
                <w:spacing w:val="-6"/>
                <w:sz w:val="18"/>
                <w:szCs w:val="18"/>
              </w:rPr>
              <w:t xml:space="preserve">О</w:t>
            </w:r>
            <w:r>
              <w:rPr>
                <w:spacing w:val="-6"/>
                <w:sz w:val="18"/>
                <w:szCs w:val="18"/>
              </w:rPr>
              <w:t xml:space="preserve">беспечение воспроизводства лесов семенами с улучшенными наследственными свойствами, повышающими продуктивность, качество и устойчивость насаждений, что позволит обеспечить к концу 2023 года долю семян с улучшенными наследственными свойствами в общем объеме</w:t>
            </w:r>
            <w:r>
              <w:rPr>
                <w:spacing w:val="-6"/>
                <w:sz w:val="18"/>
                <w:szCs w:val="18"/>
              </w:rPr>
              <w:t xml:space="preserve"> заготовленных семян на уровне не ниже 12,6% (среднемноголетнее значение</w:t>
            </w:r>
            <w:r/>
          </w:p>
          <w:p>
            <w:pPr>
              <w:spacing w:before="0" w:after="0"/>
              <w:widowControl w:val="off"/>
            </w:pPr>
            <w:r>
              <w:rPr>
                <w:spacing w:val="-6"/>
                <w:sz w:val="18"/>
                <w:szCs w:val="18"/>
              </w:rPr>
              <w:t xml:space="preserve">за 2010 - 2014 гг. - 26,7%,</w:t>
            </w:r>
            <w:r/>
          </w:p>
          <w:p>
            <w:pPr>
              <w:spacing w:before="0" w:after="0"/>
              <w:widowControl w:val="off"/>
            </w:pPr>
            <w:r>
              <w:rPr>
                <w:spacing w:val="-6"/>
                <w:sz w:val="18"/>
                <w:szCs w:val="18"/>
              </w:rPr>
              <w:t xml:space="preserve">за 2012 - 2016 гг. - 20,4%,</w:t>
            </w:r>
            <w:r/>
          </w:p>
          <w:p>
            <w:pPr>
              <w:spacing w:before="0" w:after="0"/>
              <w:widowControl w:val="off"/>
            </w:pPr>
            <w:r>
              <w:rPr>
                <w:spacing w:val="-6"/>
                <w:sz w:val="18"/>
                <w:szCs w:val="18"/>
              </w:rPr>
              <w:t xml:space="preserve">за 2014 - 2018 гг. - 19,7%,</w:t>
            </w:r>
            <w:r/>
          </w:p>
          <w:p>
            <w:pPr>
              <w:spacing w:before="0" w:after="0"/>
              <w:widowControl w:val="off"/>
            </w:pPr>
            <w:r>
              <w:rPr>
                <w:spacing w:val="-6"/>
                <w:sz w:val="18"/>
                <w:szCs w:val="18"/>
              </w:rPr>
              <w:t xml:space="preserve">за 2015 - 2019 гг. - 12,8%,</w:t>
            </w:r>
            <w:r/>
          </w:p>
          <w:p>
            <w:pPr>
              <w:spacing w:before="0" w:after="0"/>
              <w:widowControl w:val="off"/>
            </w:pPr>
            <w:r>
              <w:rPr>
                <w:spacing w:val="-6"/>
                <w:sz w:val="18"/>
                <w:szCs w:val="18"/>
              </w:rPr>
              <w:t xml:space="preserve">за 2016 - 2020 гг. - 12,5%,</w:t>
            </w:r>
            <w:r/>
          </w:p>
          <w:p>
            <w:pPr>
              <w:spacing w:before="0" w:after="0"/>
              <w:widowControl w:val="off"/>
            </w:pPr>
            <w:r>
              <w:rPr>
                <w:spacing w:val="-6"/>
                <w:sz w:val="18"/>
                <w:szCs w:val="18"/>
              </w:rPr>
              <w:t xml:space="preserve">за 2017 - 2021 гг. - 8,96%,</w:t>
            </w:r>
            <w:r/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 2018 - 2022 гг. - 10,6%,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  <w:t xml:space="preserve">за 2019–2023 гг. – 13,34%.</w:t>
            </w:r>
            <w:r>
              <w:rPr>
                <w:spacing w:val="-6"/>
                <w:sz w:val="18"/>
                <w:szCs w:val="18"/>
              </w:rPr>
              <w:t xml:space="preserve">).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Позволит обеспечить своевременное восстановление вырубок, гарей, повысить продуктивность лесов, улучшить их породный состав и тем самым сохранить к концу 2023 года лесистость территории Новосибирской области на уровне 27,8%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06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13 568,5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269 185,6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233 849,7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237 529,3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238 839,6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  <w:t xml:space="preserve">262 707,</w:t>
            </w:r>
            <w:r>
              <w:rPr>
                <w:spacing w:val="-6"/>
                <w:sz w:val="18"/>
                <w:szCs w:val="18"/>
              </w:rPr>
              <w:t xml:space="preserve">4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Итого по подпрограмме 1 государственной программы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65 815,8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37 311,5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47 474,5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  <w:t xml:space="preserve">67</w:t>
            </w:r>
            <w:r>
              <w:rPr>
                <w:spacing w:val="-6"/>
                <w:sz w:val="18"/>
                <w:szCs w:val="18"/>
              </w:rPr>
              <w:t xml:space="preserve"> 584,0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  <w:t xml:space="preserve">176 965,2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х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83 005,8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84 832,5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61 827,2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145 524,1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  <w:t xml:space="preserve">183 261,0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533 546,7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380 129,4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386 115,2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379 147,1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328 451,4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gridSpan w:val="13"/>
            <w:tcMar>
              <w:left w:w="57" w:type="dxa"/>
              <w:top w:w="0" w:type="dxa"/>
              <w:right w:w="57" w:type="dxa"/>
              <w:bottom w:w="0" w:type="dxa"/>
            </w:tcMar>
            <w:tcW w:w="15704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  <w:outlineLvl w:val="3"/>
            </w:pPr>
            <w:r>
              <w:rPr>
                <w:spacing w:val="-6"/>
                <w:sz w:val="18"/>
                <w:szCs w:val="18"/>
              </w:rPr>
              <w:t xml:space="preserve">1.2. Задача 2 цели государственной программы: повышение эффективности управления лесами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gridSpan w:val="13"/>
            <w:tcMar>
              <w:left w:w="57" w:type="dxa"/>
              <w:top w:w="0" w:type="dxa"/>
              <w:right w:w="57" w:type="dxa"/>
              <w:bottom w:w="0" w:type="dxa"/>
            </w:tcMar>
            <w:tcW w:w="15704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  <w:outlineLvl w:val="4"/>
            </w:pPr>
            <w:r>
              <w:rPr>
                <w:spacing w:val="-6"/>
                <w:sz w:val="18"/>
                <w:szCs w:val="18"/>
              </w:rPr>
              <w:t xml:space="preserve">1.2.2. Подпрограмма 2 государственной программы «Обеспечение реализации государственной программы Новосибирской области «Развитие лесного хозяйства Новосибирской области»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gridSpan w:val="13"/>
            <w:tcMar>
              <w:left w:w="57" w:type="dxa"/>
              <w:top w:w="0" w:type="dxa"/>
              <w:right w:w="57" w:type="dxa"/>
              <w:bottom w:w="0" w:type="dxa"/>
            </w:tcMar>
            <w:tcW w:w="15704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  <w:outlineLvl w:val="5"/>
            </w:pPr>
            <w:r>
              <w:rPr>
                <w:spacing w:val="-6"/>
                <w:sz w:val="18"/>
                <w:szCs w:val="18"/>
              </w:rPr>
              <w:t xml:space="preserve">1.2.2.1. Цель подпрограммы 2 государственной программы: повышение эффективности управления лесами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gridSpan w:val="13"/>
            <w:tcMar>
              <w:left w:w="57" w:type="dxa"/>
              <w:top w:w="0" w:type="dxa"/>
              <w:right w:w="57" w:type="dxa"/>
              <w:bottom w:w="0" w:type="dxa"/>
            </w:tcMar>
            <w:tcW w:w="15704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  <w:outlineLvl w:val="6"/>
            </w:pPr>
            <w:r>
              <w:rPr>
                <w:spacing w:val="-6"/>
                <w:sz w:val="18"/>
                <w:szCs w:val="18"/>
              </w:rPr>
              <w:t xml:space="preserve">1.2.2.1.1. Задача 1 цели подпрограммы 2 государственной программы: обеспечение соблюдения требований законодательства в сфере лесных отношений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1.2.2.1.1.1. Обеспечение исполнения переданных полномочий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gridSpan w:val="5"/>
            <w:tcMar>
              <w:left w:w="57" w:type="dxa"/>
              <w:top w:w="28" w:type="dxa"/>
              <w:right w:w="57" w:type="dxa"/>
              <w:bottom w:w="28" w:type="dxa"/>
            </w:tcMar>
            <w:tcW w:w="581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Мероприятие осуществляется в рамках текущей деятельности МПР НСО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МПР НСО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Позволит обеспечить к концу 2023 года объем платежей в бюджетную систему Российской Федерации от использования лесов, расположенных на землях лесного фонда, на уровне не ниже 51,4%</w:t>
            </w:r>
            <w:r>
              <w:rPr>
                <w:spacing w:val="-6"/>
                <w:sz w:val="18"/>
                <w:szCs w:val="18"/>
              </w:rPr>
              <w:t xml:space="preserve"> руб. на 1 га земель лесного фонда Новосибирской области (</w:t>
            </w:r>
            <w:r>
              <w:rPr>
                <w:spacing w:val="-6"/>
                <w:sz w:val="18"/>
                <w:szCs w:val="18"/>
              </w:rPr>
              <w:t xml:space="preserve">среднемноголетнее значение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</w:t>
            </w:r>
            <w:r>
              <w:rPr>
                <w:spacing w:val="-6"/>
                <w:sz w:val="18"/>
                <w:szCs w:val="18"/>
              </w:rPr>
              <w:t xml:space="preserve"> 2010 - 2014 гг. - 21 руб./га,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 2014 - 2018 гг. - 28,4 руб./га,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 2015 - 2019 гг. - 33,5 руб./га,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 2016 - 2020 гг. - 38,8 руб./га,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 2017 - 202</w:t>
            </w:r>
            <w:r>
              <w:rPr>
                <w:spacing w:val="-6"/>
                <w:sz w:val="18"/>
                <w:szCs w:val="18"/>
              </w:rPr>
              <w:t xml:space="preserve">1 гг. - 44,4 руб./га,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за 2018 - 2022 гг. - 48,88 руб./га,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 2019–2023 гг. – 51,0%</w:t>
            </w:r>
            <w:r>
              <w:rPr>
                <w:spacing w:val="-6"/>
                <w:sz w:val="18"/>
                <w:szCs w:val="18"/>
              </w:rPr>
              <w:t xml:space="preserve"> руб./га.); обеспечить в период 2020 - 2023 гг. динамику предотвращения возникновения нарушений лесного законодательства, причиняющих вред лесам, относительно уровня нарушений предыдущего года на уровне не ниже</w:t>
            </w:r>
            <w:r>
              <w:rPr>
                <w:spacing w:val="-6"/>
                <w:sz w:val="18"/>
                <w:szCs w:val="18"/>
              </w:rPr>
              <w:t xml:space="preserve"> 3% ежегодно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gridSpan w:val="5"/>
            <w:tcMar>
              <w:left w:w="28" w:type="dxa"/>
              <w:top w:w="28" w:type="dxa"/>
              <w:right w:w="28" w:type="dxa"/>
              <w:bottom w:w="28" w:type="dxa"/>
            </w:tcMar>
            <w:tcW w:w="581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gridSpan w:val="5"/>
            <w:tcMar>
              <w:left w:w="28" w:type="dxa"/>
              <w:top w:w="28" w:type="dxa"/>
              <w:right w:w="28" w:type="dxa"/>
              <w:bottom w:w="28" w:type="dxa"/>
            </w:tcMar>
            <w:tcW w:w="581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gridSpan w:val="5"/>
            <w:tcMar>
              <w:left w:w="28" w:type="dxa"/>
              <w:top w:w="28" w:type="dxa"/>
              <w:right w:w="28" w:type="dxa"/>
              <w:bottom w:w="28" w:type="dxa"/>
            </w:tcMar>
            <w:tcW w:w="581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gridSpan w:val="5"/>
            <w:tcMar>
              <w:left w:w="28" w:type="dxa"/>
              <w:top w:w="28" w:type="dxa"/>
              <w:right w:w="28" w:type="dxa"/>
              <w:bottom w:w="28" w:type="dxa"/>
            </w:tcMar>
            <w:tcW w:w="581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1.2.2.1.1.2.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Осуществление мер по выявлению нарушений лесного законодательства, незаконной заготовки и оборота древесины на территории Новосибирской области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40 365,0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26 890,0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38 115,0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МПР НСО,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ГУ МВД России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 Новосибирской области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Формирование резерва автомобильной техники и последующая передача ее в безвозмездное пользование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ГУ МВД России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 Новосибирской области</w:t>
            </w:r>
            <w:r>
              <w:rPr>
                <w:spacing w:val="-6"/>
                <w:sz w:val="18"/>
                <w:szCs w:val="18"/>
              </w:rPr>
              <w:t xml:space="preserve"> позволит осуществлять: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совместные проверки соблюдения лесного законодательства;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совместные мероприятия при осуществлении доследственных проверок при производстве по уголовным делам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и по делам об административных правонарушениях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gridSpan w:val="13"/>
            <w:tcW w:w="15704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  <w:outlineLvl w:val="6"/>
            </w:pPr>
            <w:r>
              <w:rPr>
                <w:spacing w:val="-6"/>
                <w:sz w:val="18"/>
                <w:szCs w:val="18"/>
              </w:rPr>
              <w:t xml:space="preserve">1.2.2.1.2. Задача 2 цели подпрограммы 2 государственной программы: создание условий для повышения уровня кадрового потенциала, производительности труда в лесном секторе Новосибирской области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1.2.2.1.2.1. 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на базе основного общего образования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37 965,0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МПР НСО,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ГБПОУ НСО «ТЛТ»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Предоставление среднего профессионального образования ГБПОУ НСО «ТЛТ» позволит сохранить в 2019 году долю обучающихся, успешн</w:t>
            </w:r>
            <w:r>
              <w:rPr>
                <w:spacing w:val="-6"/>
                <w:sz w:val="18"/>
                <w:szCs w:val="18"/>
              </w:rPr>
              <w:t xml:space="preserve">о прошедших государственную (итоговую) аттестацию, на уровне 99% (от общего количества обучающихся); сохранить в 2019 году отношение средней заработной платы преподавателей и мастеров производственного обучения в ГБПОУ НСО «ТЛТ» к средней заработной плате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 Новосибирской области на уровне 100%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01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jc w:val="both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1.2.2.1.2.2. Подготовка, переподготовка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и повышение квалификации кадров лесного хозяйства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МПР НСО,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ГУП НСО – лесхозы,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ГАУ НСО – лесхозы,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АО – лесхозы, 100% акций которых принадлежат Новосибирской области 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keepNext/>
              <w:spacing w:before="0" w:after="0"/>
              <w:widowControl w:val="off"/>
              <w:rPr>
                <w:i/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Позволит обеспечить к концу 2023 г</w:t>
            </w:r>
            <w:r>
              <w:rPr>
                <w:spacing w:val="-6"/>
                <w:sz w:val="18"/>
                <w:szCs w:val="18"/>
              </w:rPr>
              <w:t xml:space="preserve">ода долю специалистов лесного хозяйства, прошедших повышение квалификации, в общей численности работников лесного хозяйства на уровне 10%; увеличить прирост производительности труда к предыдущему году в лесном секторе Новосибирской области на 2% ежегодно</w:t>
            </w:r>
            <w:r>
              <w:rPr>
                <w:i/>
                <w:spacing w:val="-6"/>
                <w:sz w:val="18"/>
                <w:szCs w:val="18"/>
              </w:rPr>
            </w:r>
            <w:r>
              <w:rPr>
                <w:i/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800,0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850,0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900,0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Итого по подпрограмме 2 государственной программы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37 </w:t>
            </w:r>
            <w:r>
              <w:rPr>
                <w:spacing w:val="-6"/>
                <w:sz w:val="18"/>
                <w:szCs w:val="18"/>
              </w:rPr>
              <w:t xml:space="preserve">965,0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40 </w:t>
            </w:r>
            <w:r>
              <w:rPr>
                <w:spacing w:val="-6"/>
                <w:sz w:val="18"/>
                <w:szCs w:val="18"/>
              </w:rPr>
              <w:t xml:space="preserve">365,0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26 </w:t>
            </w:r>
            <w:r>
              <w:rPr>
                <w:spacing w:val="-6"/>
                <w:sz w:val="18"/>
                <w:szCs w:val="18"/>
              </w:rPr>
              <w:t xml:space="preserve">890,0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38 115,0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800,0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850,0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900,0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Итого по государственной программе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областной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103 780,8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37 311,5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87 839,5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94 474,0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  <w:t xml:space="preserve">215 080,2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2665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федеральный бюджет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200 682,3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162 321,9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276 449,6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325 179,7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  <w14:ligatures w14:val="none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  <w:t xml:space="preserve">247 058,9</w:t>
            </w:r>
            <w:r>
              <w:rPr>
                <w:spacing w:val="-6"/>
                <w:sz w:val="18"/>
                <w:szCs w:val="18"/>
                <w14:ligatures w14:val="none"/>
              </w:rPr>
            </w:r>
            <w:r>
              <w:rPr>
                <w:spacing w:val="-6"/>
                <w:sz w:val="18"/>
                <w:szCs w:val="18"/>
                <w14:ligatures w14:val="none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местные бюджеты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внебюджетные источники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557 711,0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438 214,3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430 603,2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437 928,6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373 472,2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  <w:tr>
        <w:trPr/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налоговые расходы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x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62" w:type="dxa"/>
            <w:textDirection w:val="lrTb"/>
            <w:noWrap w:val="false"/>
          </w:tcPr>
          <w:p>
            <w:pPr>
              <w:jc w:val="center"/>
              <w:spacing w:before="0" w:after="0"/>
              <w:widowControl w:val="off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0,0</w: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tcMar>
              <w:left w:w="28" w:type="dxa"/>
              <w:top w:w="28" w:type="dxa"/>
              <w:right w:w="28" w:type="dxa"/>
              <w:bottom w:w="28" w:type="dxa"/>
            </w:tcMar>
            <w:tcW w:w="2665" w:type="dxa"/>
            <w:vMerge w:val="continue"/>
            <w:textDirection w:val="lrTb"/>
            <w:noWrap w:val="false"/>
          </w:tcPr>
          <w:p>
            <w:pPr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</w:r>
          </w:p>
        </w:tc>
      </w:tr>
    </w:tbl>
    <w:p>
      <w:pPr>
        <w:spacing w:before="0" w:after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Применяемые сокращения: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АО – акционерные общества;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ГАУ НСО – государственные автономные учреждения Новосибирской области;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ГБПОУ НСО «ТЛТ» – государственное бюджетное профессиональное образовательное учреждение Новосибирской области «Тогучинский лесхоз-техникум»;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 МВД России по Новосибирской области – Главное управление Министерства внутренних дел Российской Федерации по Новосибирской области;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ГУП НСО – государственные унитарные предприятия Новосибирской области;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МПР НСО – министерство природных ресурсов и экологии Новосибирской области.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_________».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5" w:orient="landscape"/>
      <w:pgMar w:top="1418" w:right="567" w:bottom="567" w:left="567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4222289"/>
      <w:docPartObj>
        <w:docPartGallery w:val="Page Numbers (Top of Page)"/>
        <w:docPartUnique w:val="true"/>
      </w:docPartObj>
      <w:rPr/>
    </w:sdtPr>
    <w:sdtContent>
      <w:p>
        <w:pPr>
          <w:pStyle w:val="873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57"/>
    <w:link w:val="848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57"/>
    <w:link w:val="849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57"/>
    <w:link w:val="850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857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857"/>
    <w:link w:val="852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857"/>
    <w:link w:val="853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857"/>
    <w:link w:val="8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857"/>
    <w:link w:val="855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857"/>
    <w:link w:val="856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857"/>
    <w:link w:val="895"/>
    <w:uiPriority w:val="10"/>
    <w:rPr>
      <w:sz w:val="48"/>
      <w:szCs w:val="48"/>
    </w:rPr>
  </w:style>
  <w:style w:type="character" w:styleId="698">
    <w:name w:val="Subtitle Char"/>
    <w:basedOn w:val="857"/>
    <w:link w:val="928"/>
    <w:uiPriority w:val="11"/>
    <w:rPr>
      <w:sz w:val="24"/>
      <w:szCs w:val="24"/>
    </w:rPr>
  </w:style>
  <w:style w:type="paragraph" w:styleId="699">
    <w:name w:val="Quote"/>
    <w:basedOn w:val="847"/>
    <w:next w:val="847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47"/>
    <w:next w:val="847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7"/>
    <w:link w:val="873"/>
    <w:uiPriority w:val="99"/>
  </w:style>
  <w:style w:type="character" w:styleId="704">
    <w:name w:val="Footer Char"/>
    <w:basedOn w:val="857"/>
    <w:link w:val="875"/>
    <w:uiPriority w:val="99"/>
  </w:style>
  <w:style w:type="paragraph" w:styleId="705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875"/>
    <w:uiPriority w:val="99"/>
  </w:style>
  <w:style w:type="table" w:styleId="707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Footnote Text Char"/>
    <w:link w:val="908"/>
    <w:uiPriority w:val="99"/>
    <w:rPr>
      <w:sz w:val="18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57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spacing w:before="100" w:after="100"/>
    </w:pPr>
    <w:rPr>
      <w:sz w:val="24"/>
    </w:rPr>
  </w:style>
  <w:style w:type="paragraph" w:styleId="848">
    <w:name w:val="Heading 1"/>
    <w:basedOn w:val="847"/>
    <w:next w:val="847"/>
    <w:link w:val="86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49">
    <w:name w:val="Heading 2"/>
    <w:basedOn w:val="847"/>
    <w:next w:val="847"/>
    <w:link w:val="861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850">
    <w:name w:val="Heading 3"/>
    <w:basedOn w:val="847"/>
    <w:next w:val="847"/>
    <w:link w:val="862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851">
    <w:name w:val="Heading 4"/>
    <w:basedOn w:val="847"/>
    <w:next w:val="847"/>
    <w:link w:val="863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52">
    <w:name w:val="Heading 5"/>
    <w:basedOn w:val="847"/>
    <w:next w:val="847"/>
    <w:link w:val="864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853">
    <w:name w:val="Heading 6"/>
    <w:basedOn w:val="847"/>
    <w:next w:val="847"/>
    <w:link w:val="865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854">
    <w:name w:val="Heading 7"/>
    <w:basedOn w:val="847"/>
    <w:next w:val="847"/>
    <w:link w:val="866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855">
    <w:name w:val="Heading 8"/>
    <w:basedOn w:val="847"/>
    <w:next w:val="847"/>
    <w:link w:val="867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56">
    <w:name w:val="Heading 9"/>
    <w:basedOn w:val="847"/>
    <w:next w:val="847"/>
    <w:link w:val="868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Заголовок 1 Знак"/>
    <w:basedOn w:val="857"/>
    <w:link w:val="848"/>
    <w:uiPriority w:val="99"/>
    <w:rPr>
      <w:rFonts w:ascii="Cambria" w:hAnsi="Cambria" w:cs="Times New Roman"/>
      <w:b/>
      <w:sz w:val="32"/>
    </w:rPr>
  </w:style>
  <w:style w:type="character" w:styleId="861" w:customStyle="1">
    <w:name w:val="Заголовок 2 Знак"/>
    <w:basedOn w:val="857"/>
    <w:link w:val="849"/>
    <w:uiPriority w:val="99"/>
    <w:semiHidden/>
    <w:rPr>
      <w:rFonts w:ascii="Cambria" w:hAnsi="Cambria" w:cs="Times New Roman"/>
      <w:b/>
      <w:i/>
      <w:sz w:val="28"/>
    </w:rPr>
  </w:style>
  <w:style w:type="character" w:styleId="862" w:customStyle="1">
    <w:name w:val="Заголовок 3 Знак"/>
    <w:basedOn w:val="857"/>
    <w:link w:val="850"/>
    <w:uiPriority w:val="99"/>
    <w:semiHidden/>
    <w:rPr>
      <w:rFonts w:ascii="Cambria" w:hAnsi="Cambria" w:cs="Times New Roman"/>
      <w:b/>
      <w:sz w:val="26"/>
    </w:rPr>
  </w:style>
  <w:style w:type="character" w:styleId="863" w:customStyle="1">
    <w:name w:val="Заголовок 4 Знак"/>
    <w:basedOn w:val="857"/>
    <w:link w:val="851"/>
    <w:uiPriority w:val="99"/>
    <w:semiHidden/>
    <w:rPr>
      <w:rFonts w:ascii="Calibri" w:hAnsi="Calibri" w:cs="Times New Roman"/>
      <w:b/>
      <w:sz w:val="28"/>
    </w:rPr>
  </w:style>
  <w:style w:type="character" w:styleId="864" w:customStyle="1">
    <w:name w:val="Заголовок 5 Знак"/>
    <w:basedOn w:val="857"/>
    <w:link w:val="852"/>
    <w:uiPriority w:val="99"/>
    <w:semiHidden/>
    <w:rPr>
      <w:rFonts w:ascii="Calibri" w:hAnsi="Calibri" w:cs="Times New Roman"/>
      <w:b/>
      <w:i/>
      <w:sz w:val="26"/>
    </w:rPr>
  </w:style>
  <w:style w:type="character" w:styleId="865" w:customStyle="1">
    <w:name w:val="Заголовок 6 Знак"/>
    <w:basedOn w:val="857"/>
    <w:link w:val="853"/>
    <w:uiPriority w:val="99"/>
    <w:semiHidden/>
    <w:rPr>
      <w:rFonts w:ascii="Calibri" w:hAnsi="Calibri" w:cs="Times New Roman"/>
      <w:b/>
    </w:rPr>
  </w:style>
  <w:style w:type="character" w:styleId="866" w:customStyle="1">
    <w:name w:val="Заголовок 7 Знак"/>
    <w:basedOn w:val="857"/>
    <w:link w:val="854"/>
    <w:uiPriority w:val="99"/>
    <w:semiHidden/>
    <w:rPr>
      <w:rFonts w:ascii="Calibri" w:hAnsi="Calibri" w:cs="Times New Roman"/>
      <w:sz w:val="24"/>
    </w:rPr>
  </w:style>
  <w:style w:type="character" w:styleId="867" w:customStyle="1">
    <w:name w:val="Заголовок 8 Знак"/>
    <w:basedOn w:val="857"/>
    <w:link w:val="855"/>
    <w:uiPriority w:val="99"/>
    <w:semiHidden/>
    <w:rPr>
      <w:rFonts w:ascii="Calibri" w:hAnsi="Calibri" w:cs="Times New Roman"/>
      <w:i/>
      <w:sz w:val="24"/>
    </w:rPr>
  </w:style>
  <w:style w:type="character" w:styleId="868" w:customStyle="1">
    <w:name w:val="Заголовок 9 Знак"/>
    <w:basedOn w:val="857"/>
    <w:link w:val="856"/>
    <w:uiPriority w:val="99"/>
    <w:semiHidden/>
    <w:rPr>
      <w:rFonts w:ascii="Cambria" w:hAnsi="Cambria" w:cs="Times New Roman"/>
    </w:rPr>
  </w:style>
  <w:style w:type="paragraph" w:styleId="869">
    <w:name w:val="Balloon Text"/>
    <w:basedOn w:val="847"/>
    <w:link w:val="870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857"/>
    <w:link w:val="869"/>
    <w:uiPriority w:val="99"/>
    <w:semiHidden/>
    <w:rPr>
      <w:rFonts w:ascii="Tahoma" w:hAnsi="Tahoma" w:cs="Times New Roman"/>
      <w:sz w:val="16"/>
    </w:rPr>
  </w:style>
  <w:style w:type="paragraph" w:styleId="871">
    <w:name w:val="Body Text"/>
    <w:basedOn w:val="847"/>
    <w:link w:val="872"/>
    <w:uiPriority w:val="99"/>
    <w:pPr>
      <w:jc w:val="both"/>
      <w:spacing w:before="0" w:after="0"/>
    </w:pPr>
    <w:rPr>
      <w:sz w:val="28"/>
      <w:szCs w:val="28"/>
    </w:rPr>
  </w:style>
  <w:style w:type="character" w:styleId="872" w:customStyle="1">
    <w:name w:val="Основной текст Знак"/>
    <w:basedOn w:val="857"/>
    <w:link w:val="871"/>
    <w:uiPriority w:val="99"/>
    <w:rPr>
      <w:rFonts w:cs="Times New Roman"/>
      <w:sz w:val="20"/>
    </w:rPr>
  </w:style>
  <w:style w:type="paragraph" w:styleId="873">
    <w:name w:val="Header"/>
    <w:basedOn w:val="847"/>
    <w:link w:val="874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4" w:customStyle="1">
    <w:name w:val="Верхний колонтитул Знак"/>
    <w:basedOn w:val="857"/>
    <w:link w:val="873"/>
    <w:uiPriority w:val="99"/>
    <w:rPr>
      <w:rFonts w:cs="Times New Roman"/>
      <w:sz w:val="28"/>
      <w:lang w:val="ru-RU" w:eastAsia="ru-RU"/>
    </w:rPr>
  </w:style>
  <w:style w:type="paragraph" w:styleId="875">
    <w:name w:val="Footer"/>
    <w:basedOn w:val="847"/>
    <w:link w:val="876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6" w:customStyle="1">
    <w:name w:val="Нижний колонтитул Знак"/>
    <w:basedOn w:val="857"/>
    <w:link w:val="875"/>
    <w:uiPriority w:val="99"/>
    <w:rPr>
      <w:rFonts w:cs="Times New Roman"/>
      <w:sz w:val="28"/>
      <w:lang w:val="ru-RU" w:eastAsia="ru-RU"/>
    </w:rPr>
  </w:style>
  <w:style w:type="paragraph" w:styleId="877">
    <w:name w:val="Body Text 2"/>
    <w:basedOn w:val="847"/>
    <w:link w:val="878"/>
    <w:uiPriority w:val="99"/>
    <w:pPr>
      <w:jc w:val="center"/>
      <w:spacing w:before="0" w:after="0"/>
    </w:pPr>
    <w:rPr>
      <w:sz w:val="28"/>
      <w:szCs w:val="28"/>
    </w:rPr>
  </w:style>
  <w:style w:type="character" w:styleId="878" w:customStyle="1">
    <w:name w:val="Основной текст 2 Знак"/>
    <w:basedOn w:val="857"/>
    <w:link w:val="877"/>
    <w:uiPriority w:val="99"/>
    <w:semiHidden/>
    <w:rPr>
      <w:rFonts w:cs="Times New Roman"/>
      <w:sz w:val="20"/>
    </w:rPr>
  </w:style>
  <w:style w:type="paragraph" w:styleId="879">
    <w:name w:val="Body Text Indent 2"/>
    <w:basedOn w:val="847"/>
    <w:link w:val="880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80" w:customStyle="1">
    <w:name w:val="Основной текст с отступом 2 Знак"/>
    <w:basedOn w:val="857"/>
    <w:link w:val="879"/>
    <w:uiPriority w:val="99"/>
    <w:semiHidden/>
    <w:rPr>
      <w:rFonts w:cs="Times New Roman"/>
      <w:sz w:val="20"/>
    </w:rPr>
  </w:style>
  <w:style w:type="character" w:styleId="881">
    <w:name w:val="page number"/>
    <w:basedOn w:val="857"/>
    <w:uiPriority w:val="99"/>
    <w:rPr>
      <w:rFonts w:cs="Times New Roman"/>
    </w:rPr>
  </w:style>
  <w:style w:type="paragraph" w:styleId="882">
    <w:name w:val="Body Text Indent 3"/>
    <w:basedOn w:val="847"/>
    <w:link w:val="883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83" w:customStyle="1">
    <w:name w:val="Основной текст с отступом 3 Знак"/>
    <w:basedOn w:val="857"/>
    <w:link w:val="882"/>
    <w:uiPriority w:val="99"/>
    <w:semiHidden/>
    <w:rPr>
      <w:rFonts w:cs="Times New Roman"/>
      <w:sz w:val="16"/>
    </w:rPr>
  </w:style>
  <w:style w:type="paragraph" w:styleId="884" w:customStyle="1">
    <w:name w:val="ConsNormal"/>
    <w:uiPriority w:val="99"/>
    <w:pPr>
      <w:ind w:firstLine="720"/>
    </w:pPr>
    <w:rPr>
      <w:rFonts w:ascii="Arial" w:hAnsi="Arial" w:cs="Arial"/>
    </w:rPr>
  </w:style>
  <w:style w:type="paragraph" w:styleId="885" w:customStyle="1">
    <w:name w:val="ConsNonformat"/>
    <w:rPr>
      <w:rFonts w:ascii="Courier New" w:hAnsi="Courier New" w:cs="Courier New"/>
    </w:rPr>
  </w:style>
  <w:style w:type="paragraph" w:styleId="886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87">
    <w:name w:val="Body Text 3"/>
    <w:basedOn w:val="847"/>
    <w:link w:val="888"/>
    <w:uiPriority w:val="99"/>
    <w:pPr>
      <w:jc w:val="both"/>
      <w:spacing w:before="0" w:after="0"/>
      <w:widowControl w:val="off"/>
    </w:pPr>
    <w:rPr>
      <w:szCs w:val="24"/>
    </w:rPr>
  </w:style>
  <w:style w:type="character" w:styleId="888" w:customStyle="1">
    <w:name w:val="Основной текст 3 Знак"/>
    <w:basedOn w:val="857"/>
    <w:link w:val="887"/>
    <w:uiPriority w:val="99"/>
    <w:semiHidden/>
    <w:rPr>
      <w:rFonts w:cs="Times New Roman"/>
      <w:sz w:val="16"/>
    </w:rPr>
  </w:style>
  <w:style w:type="paragraph" w:styleId="889" w:customStyle="1">
    <w:name w:val="Заголовок4"/>
    <w:basedOn w:val="848"/>
    <w:next w:val="852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90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891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92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93">
    <w:name w:val="Normal (Web)"/>
    <w:basedOn w:val="847"/>
    <w:uiPriority w:val="99"/>
    <w:pPr>
      <w:spacing w:beforeAutospacing="1" w:afterAutospacing="1"/>
    </w:pPr>
    <w:rPr>
      <w:color w:val="000000"/>
      <w:szCs w:val="24"/>
    </w:rPr>
  </w:style>
  <w:style w:type="paragraph" w:styleId="894" w:customStyle="1">
    <w:name w:val="ConsPlusTitle"/>
    <w:rPr>
      <w:b/>
      <w:bCs/>
      <w:sz w:val="28"/>
      <w:szCs w:val="28"/>
    </w:rPr>
  </w:style>
  <w:style w:type="paragraph" w:styleId="895">
    <w:name w:val="Title"/>
    <w:basedOn w:val="847"/>
    <w:link w:val="896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896" w:customStyle="1">
    <w:name w:val="Заголовок Знак"/>
    <w:basedOn w:val="857"/>
    <w:link w:val="895"/>
    <w:uiPriority w:val="99"/>
    <w:rPr>
      <w:rFonts w:ascii="Cambria" w:hAnsi="Cambria" w:cs="Times New Roman"/>
      <w:b/>
      <w:sz w:val="32"/>
    </w:rPr>
  </w:style>
  <w:style w:type="paragraph" w:styleId="897" w:customStyle="1">
    <w:name w:val="Термин"/>
    <w:basedOn w:val="847"/>
    <w:next w:val="847"/>
    <w:uiPriority w:val="99"/>
    <w:pPr>
      <w:spacing w:before="0" w:after="0"/>
    </w:pPr>
    <w:rPr>
      <w:szCs w:val="24"/>
      <w:lang w:val="pl-PL"/>
    </w:rPr>
  </w:style>
  <w:style w:type="paragraph" w:styleId="898" w:customStyle="1">
    <w:name w:val="H1"/>
    <w:basedOn w:val="847"/>
    <w:next w:val="847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899" w:customStyle="1">
    <w:name w:val="Список определений"/>
    <w:basedOn w:val="847"/>
    <w:next w:val="897"/>
    <w:uiPriority w:val="99"/>
    <w:pPr>
      <w:ind w:left="360"/>
      <w:spacing w:before="0" w:after="0"/>
    </w:pPr>
    <w:rPr>
      <w:szCs w:val="24"/>
      <w:lang w:val="pl-PL"/>
    </w:rPr>
  </w:style>
  <w:style w:type="paragraph" w:styleId="900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01" w:customStyle="1">
    <w:name w:val="Preformat"/>
    <w:uiPriority w:val="99"/>
    <w:rPr>
      <w:rFonts w:ascii="Courier New" w:hAnsi="Courier New" w:cs="Courier New"/>
    </w:rPr>
  </w:style>
  <w:style w:type="paragraph" w:styleId="902">
    <w:name w:val="Block Text"/>
    <w:basedOn w:val="847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03" w:customStyle="1">
    <w:name w:val="Цветовое выделение"/>
    <w:uiPriority w:val="99"/>
    <w:rPr>
      <w:b/>
      <w:color w:val="000080"/>
      <w:sz w:val="20"/>
    </w:rPr>
  </w:style>
  <w:style w:type="character" w:styleId="904" w:customStyle="1">
    <w:name w:val="Не вступил в силу"/>
    <w:uiPriority w:val="99"/>
    <w:rPr>
      <w:color w:val="008080"/>
      <w:sz w:val="20"/>
    </w:rPr>
  </w:style>
  <w:style w:type="paragraph" w:styleId="905" w:customStyle="1">
    <w:name w:val="Таблицы (моноширинный)"/>
    <w:basedOn w:val="847"/>
    <w:next w:val="847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06">
    <w:name w:val="Plain Text"/>
    <w:basedOn w:val="847"/>
    <w:link w:val="907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07" w:customStyle="1">
    <w:name w:val="Текст Знак"/>
    <w:basedOn w:val="857"/>
    <w:link w:val="906"/>
    <w:uiPriority w:val="99"/>
    <w:semiHidden/>
    <w:rPr>
      <w:rFonts w:ascii="Courier New" w:hAnsi="Courier New" w:cs="Times New Roman"/>
      <w:sz w:val="20"/>
    </w:rPr>
  </w:style>
  <w:style w:type="paragraph" w:styleId="908">
    <w:name w:val="footnote text"/>
    <w:basedOn w:val="847"/>
    <w:link w:val="909"/>
    <w:uiPriority w:val="99"/>
    <w:semiHidden/>
    <w:pPr>
      <w:spacing w:before="0" w:after="0"/>
    </w:pPr>
    <w:rPr>
      <w:sz w:val="20"/>
    </w:rPr>
  </w:style>
  <w:style w:type="character" w:styleId="909" w:customStyle="1">
    <w:name w:val="Текст сноски Знак"/>
    <w:basedOn w:val="857"/>
    <w:link w:val="908"/>
    <w:uiPriority w:val="99"/>
    <w:semiHidden/>
    <w:rPr>
      <w:rFonts w:cs="Times New Roman"/>
      <w:sz w:val="20"/>
    </w:rPr>
  </w:style>
  <w:style w:type="paragraph" w:styleId="910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11" w:customStyle="1">
    <w:name w:val="Основной шрифт абзаца1"/>
    <w:uiPriority w:val="99"/>
    <w:rPr>
      <w:sz w:val="20"/>
    </w:rPr>
  </w:style>
  <w:style w:type="paragraph" w:styleId="912" w:customStyle="1">
    <w:name w:val="Îñíîâíîé òåêñò"/>
    <w:basedOn w:val="913"/>
    <w:uiPriority w:val="99"/>
    <w:rPr>
      <w:sz w:val="28"/>
      <w:szCs w:val="28"/>
    </w:rPr>
  </w:style>
  <w:style w:type="paragraph" w:styleId="913" w:customStyle="1">
    <w:name w:val="Îáû÷íûé"/>
    <w:uiPriority w:val="99"/>
    <w:rPr>
      <w:lang w:eastAsia="ar-SA"/>
    </w:rPr>
  </w:style>
  <w:style w:type="character" w:styleId="914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15">
    <w:name w:val="Body Text Indent"/>
    <w:basedOn w:val="847"/>
    <w:link w:val="916"/>
    <w:uiPriority w:val="99"/>
    <w:pPr>
      <w:ind w:left="283"/>
      <w:spacing w:before="0" w:after="120"/>
    </w:pPr>
    <w:rPr>
      <w:sz w:val="28"/>
      <w:szCs w:val="28"/>
    </w:rPr>
  </w:style>
  <w:style w:type="character" w:styleId="916" w:customStyle="1">
    <w:name w:val="Основной текст с отступом Знак"/>
    <w:basedOn w:val="857"/>
    <w:link w:val="915"/>
    <w:uiPriority w:val="99"/>
    <w:semiHidden/>
    <w:rPr>
      <w:rFonts w:cs="Times New Roman"/>
      <w:sz w:val="20"/>
    </w:rPr>
  </w:style>
  <w:style w:type="table" w:styleId="917">
    <w:name w:val="Table Grid"/>
    <w:basedOn w:val="85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8">
    <w:name w:val="footnote reference"/>
    <w:basedOn w:val="857"/>
    <w:uiPriority w:val="99"/>
    <w:semiHidden/>
    <w:rPr>
      <w:rFonts w:cs="Times New Roman"/>
      <w:vertAlign w:val="superscript"/>
    </w:rPr>
  </w:style>
  <w:style w:type="paragraph" w:styleId="919" w:customStyle="1">
    <w:name w:val="Прижатый влево"/>
    <w:basedOn w:val="847"/>
    <w:next w:val="847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20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21" w:customStyle="1">
    <w:name w:val="заголовок 1"/>
    <w:basedOn w:val="847"/>
    <w:next w:val="847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22" w:customStyle="1">
    <w:name w:val="Кому"/>
    <w:basedOn w:val="847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23" w:customStyle="1">
    <w:name w:val="заголовок 2"/>
    <w:basedOn w:val="847"/>
    <w:next w:val="847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24" w:customStyle="1">
    <w:name w:val="Цитаты"/>
    <w:basedOn w:val="847"/>
    <w:uiPriority w:val="99"/>
    <w:pPr>
      <w:ind w:left="360" w:right="360"/>
    </w:pPr>
    <w:rPr>
      <w:szCs w:val="24"/>
    </w:rPr>
  </w:style>
  <w:style w:type="character" w:styleId="925">
    <w:name w:val="Hyperlink"/>
    <w:basedOn w:val="857"/>
    <w:uiPriority w:val="99"/>
    <w:rPr>
      <w:rFonts w:cs="Times New Roman"/>
      <w:color w:val="0000ff"/>
      <w:u w:val="single"/>
    </w:rPr>
  </w:style>
  <w:style w:type="paragraph" w:styleId="926" w:customStyle="1">
    <w:name w:val="заголовок 3"/>
    <w:basedOn w:val="847"/>
    <w:next w:val="847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27">
    <w:name w:val="Strong"/>
    <w:basedOn w:val="857"/>
    <w:uiPriority w:val="99"/>
    <w:qFormat/>
    <w:rPr>
      <w:rFonts w:cs="Times New Roman"/>
      <w:b/>
    </w:rPr>
  </w:style>
  <w:style w:type="paragraph" w:styleId="928">
    <w:name w:val="Subtitle"/>
    <w:basedOn w:val="847"/>
    <w:link w:val="929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29" w:customStyle="1">
    <w:name w:val="Подзаголовок Знак"/>
    <w:basedOn w:val="857"/>
    <w:link w:val="928"/>
    <w:uiPriority w:val="99"/>
    <w:rPr>
      <w:rFonts w:ascii="Cambria" w:hAnsi="Cambria" w:cs="Times New Roman"/>
      <w:sz w:val="24"/>
    </w:rPr>
  </w:style>
  <w:style w:type="paragraph" w:styleId="930" w:customStyle="1">
    <w:name w:val="заголовок 6"/>
    <w:basedOn w:val="847"/>
    <w:next w:val="847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31" w:customStyle="1">
    <w:name w:val="Гиперссылка1"/>
    <w:uiPriority w:val="99"/>
    <w:rPr>
      <w:color w:val="0000ff"/>
      <w:u w:val="none"/>
    </w:rPr>
  </w:style>
  <w:style w:type="paragraph" w:styleId="932">
    <w:name w:val="envelope return"/>
    <w:basedOn w:val="847"/>
    <w:uiPriority w:val="99"/>
    <w:pPr>
      <w:ind w:right="57"/>
      <w:jc w:val="both"/>
      <w:spacing w:before="0" w:after="0"/>
    </w:pPr>
    <w:rPr>
      <w:szCs w:val="24"/>
    </w:rPr>
  </w:style>
  <w:style w:type="character" w:styleId="933" w:customStyle="1">
    <w:name w:val="text11"/>
    <w:uiPriority w:val="99"/>
    <w:rPr>
      <w:rFonts w:ascii="Arial" w:hAnsi="Arial"/>
      <w:color w:val="auto"/>
      <w:sz w:val="20"/>
    </w:rPr>
  </w:style>
  <w:style w:type="paragraph" w:styleId="934" w:customStyle="1">
    <w:name w:val="заголовок 5"/>
    <w:basedOn w:val="847"/>
    <w:next w:val="847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35" w:customStyle="1">
    <w:name w:val="Знак Знак Знак Знак"/>
    <w:basedOn w:val="84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6" w:customStyle="1">
    <w:name w:val="Знак Знак Знак Знак Знак Знак Знак Знак Знак Знак"/>
    <w:basedOn w:val="84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7" w:customStyle="1">
    <w:name w:val="Об"/>
    <w:uiPriority w:val="99"/>
    <w:pPr>
      <w:widowControl w:val="off"/>
    </w:pPr>
  </w:style>
  <w:style w:type="paragraph" w:styleId="938" w:customStyle="1">
    <w:name w:val="Прикольный"/>
    <w:basedOn w:val="937"/>
    <w:uiPriority w:val="99"/>
  </w:style>
  <w:style w:type="paragraph" w:styleId="939" w:customStyle="1">
    <w:name w:val="Знак Знак Знак Знак1 Знак Знак"/>
    <w:basedOn w:val="84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0" w:customStyle="1">
    <w:name w:val="Знак"/>
    <w:basedOn w:val="84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1" w:customStyle="1">
    <w:name w:val="Знак Знак Знак"/>
    <w:basedOn w:val="84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2" w:customStyle="1">
    <w:name w:val="Знак Знак Знак Знак2"/>
    <w:basedOn w:val="84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3" w:customStyle="1">
    <w:name w:val="Знак Знак Знак Знак1"/>
    <w:basedOn w:val="84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4" w:customStyle="1">
    <w:name w:val="Знак1 Знак Знак Знак"/>
    <w:basedOn w:val="84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5" w:customStyle="1">
    <w:name w:val="Знак Знак"/>
    <w:basedOn w:val="84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6" w:customStyle="1">
    <w:name w:val="Знак Знак Знак Знак1 Знак Знак Знак"/>
    <w:basedOn w:val="84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7" w:customStyle="1">
    <w:name w:val="Знак Знак Знак1 Знак"/>
    <w:basedOn w:val="84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48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49" w:customStyle="1">
    <w:name w:val="????????"/>
    <w:basedOn w:val="847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50" w:customStyle="1">
    <w:name w:val="ConsPlusCell"/>
    <w:pPr>
      <w:widowControl w:val="off"/>
    </w:pPr>
    <w:rPr>
      <w:rFonts w:ascii="Arial" w:hAnsi="Arial" w:cs="Arial"/>
    </w:rPr>
  </w:style>
  <w:style w:type="character" w:styleId="951" w:customStyle="1">
    <w:name w:val="Основной текст (4)"/>
    <w:link w:val="952"/>
    <w:uiPriority w:val="99"/>
    <w:rPr>
      <w:b/>
      <w:sz w:val="18"/>
    </w:rPr>
  </w:style>
  <w:style w:type="paragraph" w:styleId="952" w:customStyle="1">
    <w:name w:val="Основной текст (4)1"/>
    <w:basedOn w:val="847"/>
    <w:link w:val="951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53" w:customStyle="1">
    <w:name w:val="Основной текст (3)"/>
    <w:link w:val="954"/>
    <w:uiPriority w:val="99"/>
    <w:rPr>
      <w:sz w:val="28"/>
    </w:rPr>
  </w:style>
  <w:style w:type="paragraph" w:styleId="954" w:customStyle="1">
    <w:name w:val="Основной текст (3)1"/>
    <w:basedOn w:val="847"/>
    <w:link w:val="953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55" w:customStyle="1">
    <w:name w:val="Текст (лев. подпись)"/>
    <w:basedOn w:val="847"/>
    <w:next w:val="847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56" w:customStyle="1">
    <w:name w:val="Текст (прав. подпись)"/>
    <w:basedOn w:val="847"/>
    <w:next w:val="847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57" w:customStyle="1">
    <w:name w:val="Font Style12"/>
    <w:rPr>
      <w:rFonts w:ascii="Times New Roman" w:hAnsi="Times New Roman"/>
      <w:sz w:val="18"/>
    </w:rPr>
  </w:style>
  <w:style w:type="character" w:styleId="958">
    <w:name w:val="Placeholder Text"/>
    <w:basedOn w:val="857"/>
    <w:uiPriority w:val="99"/>
    <w:semiHidden/>
    <w:rPr>
      <w:color w:val="808080"/>
    </w:rPr>
  </w:style>
  <w:style w:type="paragraph" w:styleId="959">
    <w:name w:val="List Paragraph"/>
    <w:basedOn w:val="847"/>
    <w:uiPriority w:val="34"/>
    <w:qFormat/>
    <w:pPr>
      <w:contextualSpacing/>
      <w:ind w:left="720"/>
      <w:spacing w:before="0" w:after="0"/>
    </w:pPr>
    <w:rPr>
      <w:szCs w:val="24"/>
    </w:rPr>
  </w:style>
  <w:style w:type="paragraph" w:styleId="960" w:customStyle="1">
    <w:name w:val="Нормальный (таблица)"/>
    <w:basedOn w:val="847"/>
    <w:next w:val="847"/>
    <w:uiPriority w:val="99"/>
    <w:pPr>
      <w:jc w:val="both"/>
      <w:spacing w:before="0" w:after="0"/>
      <w:widowControl w:val="off"/>
    </w:pPr>
    <w:rPr>
      <w:rFonts w:ascii="Times New Roman CYR" w:hAnsi="Times New Roman CYR" w:cs="Times New Roman CYR" w:eastAsiaTheme="minorEastAsia"/>
      <w:szCs w:val="24"/>
    </w:rPr>
  </w:style>
  <w:style w:type="character" w:styleId="961" w:customStyle="1">
    <w:name w:val="selectable-text"/>
    <w:basedOn w:val="857"/>
  </w:style>
  <w:style w:type="character" w:styleId="962">
    <w:name w:val="annotation reference"/>
    <w:basedOn w:val="857"/>
    <w:uiPriority w:val="99"/>
    <w:semiHidden/>
    <w:unhideWhenUsed/>
    <w:rPr>
      <w:sz w:val="16"/>
      <w:szCs w:val="16"/>
    </w:rPr>
  </w:style>
  <w:style w:type="paragraph" w:styleId="963">
    <w:name w:val="annotation text"/>
    <w:basedOn w:val="847"/>
    <w:link w:val="964"/>
    <w:uiPriority w:val="99"/>
    <w:semiHidden/>
    <w:unhideWhenUsed/>
    <w:rPr>
      <w:sz w:val="20"/>
    </w:rPr>
  </w:style>
  <w:style w:type="character" w:styleId="964" w:customStyle="1">
    <w:name w:val="Текст примечания Знак"/>
    <w:basedOn w:val="857"/>
    <w:link w:val="963"/>
    <w:uiPriority w:val="99"/>
    <w:semiHidden/>
  </w:style>
  <w:style w:type="paragraph" w:styleId="965">
    <w:name w:val="annotation subject"/>
    <w:basedOn w:val="963"/>
    <w:next w:val="963"/>
    <w:link w:val="966"/>
    <w:uiPriority w:val="99"/>
    <w:semiHidden/>
    <w:unhideWhenUsed/>
    <w:rPr>
      <w:b/>
      <w:bCs/>
    </w:rPr>
  </w:style>
  <w:style w:type="character" w:styleId="966" w:customStyle="1">
    <w:name w:val="Тема примечания Знак"/>
    <w:basedOn w:val="964"/>
    <w:link w:val="965"/>
    <w:uiPriority w:val="99"/>
    <w:semiHidden/>
    <w:rPr>
      <w:b/>
      <w:bCs/>
    </w:rPr>
  </w:style>
  <w:style w:type="numbering" w:styleId="967" w:customStyle="1">
    <w:name w:val="Нет списка1"/>
    <w:next w:val="859"/>
    <w:uiPriority w:val="99"/>
    <w:semiHidden/>
    <w:unhideWhenUsed/>
  </w:style>
  <w:style w:type="paragraph" w:styleId="968" w:customStyle="1">
    <w:name w:val="ConsPlusTitlePage"/>
    <w:pPr>
      <w:widowControl w:val="off"/>
    </w:pPr>
    <w:rPr>
      <w:rFonts w:ascii="Tahoma" w:hAnsi="Tahoma" w:cs="Tahom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EFBCA5-8B67-4E54-8753-005925D6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ПП бланк С-шаблон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Шастина Елена Никандровна</dc:creator>
  <cp:revision>33</cp:revision>
  <dcterms:created xsi:type="dcterms:W3CDTF">2022-10-24T05:04:00Z</dcterms:created>
  <dcterms:modified xsi:type="dcterms:W3CDTF">2024-02-19T02:06:33Z</dcterms:modified>
</cp:coreProperties>
</file>