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10490"/>
        <w:jc w:val="center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  <w:outlineLvl w:val="0"/>
      </w:pPr>
      <w:r>
        <w:rPr>
          <w:rFonts w:ascii="Times New Roman" w:hAnsi="Times New Roman" w:cs="Times New Roman"/>
          <w:bCs/>
          <w:sz w:val="28"/>
          <w:szCs w:val="28"/>
        </w:rPr>
        <w:t xml:space="preserve">ПРИЛОЖЕНИЕ № 1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left="10490"/>
        <w:jc w:val="center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  <w:outlineLvl w:val="0"/>
      </w:pPr>
      <w:r>
        <w:rPr>
          <w:rFonts w:ascii="Times New Roman" w:hAnsi="Times New Roman" w:cs="Times New Roman"/>
          <w:bCs/>
          <w:sz w:val="28"/>
          <w:szCs w:val="28"/>
        </w:rPr>
        <w:t xml:space="preserve">к постановлению Правительства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left="10490"/>
        <w:jc w:val="center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  <w:outlineLvl w:val="0"/>
      </w:pPr>
      <w:r>
        <w:rPr>
          <w:rFonts w:ascii="Times New Roman" w:hAnsi="Times New Roman" w:cs="Times New Roman"/>
          <w:bCs/>
          <w:sz w:val="28"/>
          <w:szCs w:val="28"/>
        </w:rPr>
        <w:t xml:space="preserve">Новосибирской области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left="10490"/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10490"/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10490"/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/>
      <w:bookmarkStart w:id="0" w:name="_GoBack"/>
      <w:r/>
      <w:bookmarkEnd w:id="0"/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10490"/>
        <w:jc w:val="center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  <w:outlineLvl w:val="0"/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left="10490"/>
        <w:jc w:val="center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  <w:outlineLvl w:val="0"/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left="10490"/>
        <w:jc w:val="center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  <w:outlineLvl w:val="0"/>
      </w:pPr>
      <w:r>
        <w:rPr>
          <w:rFonts w:ascii="Times New Roman" w:hAnsi="Times New Roman" w:cs="Times New Roman"/>
          <w:bCs/>
          <w:sz w:val="28"/>
          <w:szCs w:val="28"/>
        </w:rPr>
        <w:t xml:space="preserve">«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ПРИЛОЖЕНИЕ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№</w:t>
      </w:r>
      <w:r>
        <w:rPr>
          <w:rFonts w:ascii="Times New Roman" w:hAnsi="Times New Roman" w:cs="Times New Roman"/>
          <w:bCs/>
          <w:sz w:val="28"/>
          <w:szCs w:val="28"/>
        </w:rPr>
        <w:t xml:space="preserve"> </w:t>
      </w:r>
      <w:r>
        <w:rPr>
          <w:rFonts w:ascii="Times New Roman" w:hAnsi="Times New Roman" w:cs="Times New Roman"/>
          <w:bCs/>
          <w:sz w:val="28"/>
          <w:szCs w:val="28"/>
        </w:rPr>
        <w:t xml:space="preserve">1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left="10490"/>
        <w:jc w:val="center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к государственной программе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left="10490"/>
        <w:jc w:val="center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Новосибирской области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«</w:t>
      </w:r>
      <w:r>
        <w:rPr>
          <w:rFonts w:ascii="Times New Roman" w:hAnsi="Times New Roman" w:cs="Times New Roman"/>
          <w:bCs/>
          <w:sz w:val="28"/>
          <w:szCs w:val="28"/>
        </w:rPr>
        <w:t xml:space="preserve">Развитие лесного хозяйства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Новосибирской области</w:t>
      </w:r>
      <w:r>
        <w:rPr>
          <w:rFonts w:ascii="Times New Roman" w:hAnsi="Times New Roman" w:cs="Times New Roman"/>
          <w:bCs/>
          <w:sz w:val="28"/>
          <w:szCs w:val="28"/>
        </w:rPr>
        <w:t xml:space="preserve">»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left="10490"/>
        <w:jc w:val="center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left="10490"/>
        <w:jc w:val="center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left="10490"/>
        <w:jc w:val="center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ЦЕЛИ, ЗАДАЧИ И ЦЕЛЕВЫЕ ИНДИКАТОРЫ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государственной программы Новосибирской области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«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Развитие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лесного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хозяйства Новосибирской области»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tbl>
      <w:tblPr>
        <w:tblW w:w="510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2419"/>
        <w:gridCol w:w="9"/>
        <w:gridCol w:w="2409"/>
        <w:gridCol w:w="992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2258"/>
      </w:tblGrid>
      <w:tr>
        <w:trPr>
          <w:jc w:val="center"/>
          <w:trHeight w:val="20"/>
        </w:trPr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2419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Цель/задачи, требующие решения для достижения цели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gridSpan w:val="2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2419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Наименование целевого индикатора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992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Единица измерения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gridSpan w:val="10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793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Значение целевого индикатора, в том числе по годам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2258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Примечание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</w:tr>
      <w:tr>
        <w:trPr>
          <w:jc w:val="center"/>
          <w:trHeight w:val="20"/>
        </w:trPr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2419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gridSpan w:val="2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2419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992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7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2014 (факт)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7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2015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7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2016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7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2017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7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2018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7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2019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7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2020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7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2021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7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2022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7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2023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2258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jc w:val="center"/>
          <w:trHeight w:val="20"/>
        </w:trPr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241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  <w:outlineLvl w:val="1"/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gridSpan w:val="2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241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  <w:outlineLvl w:val="1"/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  <w:outlineLvl w:val="1"/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7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  <w:outlineLvl w:val="1"/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7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  <w:outlineLvl w:val="1"/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7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  <w:outlineLvl w:val="1"/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7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  <w:outlineLvl w:val="1"/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7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  <w:outlineLvl w:val="1"/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7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  <w:outlineLvl w:val="1"/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7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  <w:outlineLvl w:val="1"/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7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  <w:outlineLvl w:val="1"/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7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  <w:outlineLvl w:val="1"/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7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  <w:outlineLvl w:val="1"/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225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  <w:outlineLvl w:val="1"/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</w:tr>
      <w:tr>
        <w:trPr>
          <w:jc w:val="center"/>
          <w:trHeight w:val="20"/>
        </w:trPr>
        <w:tc>
          <w:tcPr>
            <w:gridSpan w:val="15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1602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  <w:outlineLvl w:val="1"/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Государственная программа Новосибирской области «Развитие лесного хозяйства Новосибирской области»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</w:tr>
      <w:tr>
        <w:trPr>
          <w:jc w:val="center"/>
          <w:trHeight w:val="20"/>
        </w:trPr>
        <w:tc>
          <w:tcPr>
            <w:gridSpan w:val="15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1602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  <w:outlineLvl w:val="2"/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Цель государственной программы: повышение эффекти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вности использования, охраны, защиты и воспроизводства лесов, обеспечение стабильного удовлетворения общественных потребностей в ресурсах и полезных свойствах леса при гарантированном сохранении ресурсно-экологического потенциала и глобальных функций лесов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</w:tr>
      <w:tr>
        <w:trPr>
          <w:jc w:val="center"/>
          <w:trHeight w:val="20"/>
        </w:trPr>
        <w:tc>
          <w:tcPr>
            <w:gridSpan w:val="2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2428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Задача 1 цели государственной программы: сокращение потерь лесного хозяйства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от пожаров, вредных организмов, создание условий для рационального и интенсивного использования лесов, повышение их продуктивности и качества на основе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их гарантированного воспроизводства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и лесоразведения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240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1. Доля площади лесов, выбывших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из состава покрытых лесной растительностью земель лесного фонда в связи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с воздействием пожаров, вредных организмов, рубок и других факторов,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в общей площади покрытых лесной растительностью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земель лесного фонда на территории Новосибирской области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%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7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0,047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7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0,159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7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0,157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7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–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7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–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7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–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7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–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7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–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7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–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79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–</w:t>
            </w:r>
            <w:r/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225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с 2017 года показатель исключен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и не оценивается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</w:tr>
      <w:tr>
        <w:trPr>
          <w:jc w:val="center"/>
          <w:trHeight w:val="20"/>
        </w:trPr>
        <w:tc>
          <w:tcPr>
            <w:gridSpan w:val="2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2428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240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2. 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Отношение фактического объема заготовки древесины к установленному допустимому объему изъятия древесины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vertAlign w:val="superscript"/>
              </w:rPr>
              <w:t xml:space="preserve">1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%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7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19,6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7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21,1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7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21,9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7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22,8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7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23,7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7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21,4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7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22,4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7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22,9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7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23,5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7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,0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225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среднемноголетнее значение за 2014–2018 гг. – 20,1%,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среднемноголетнее значение за 2015–2019 гг. – 20,3%,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среднемноголетнее значение за 2016–2020 гг. – 20,0%, среднемноголетнее значение за 2017–2021 гг. – 20,7%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;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среднемноголетнее значение за 2018–2022 гг. – 20,2%;</w:t>
            </w:r>
            <w:r>
              <w:rPr>
                <w:rFonts w:ascii="Times New Roman" w:hAnsi="Times New Roman" w:cs="Times New Roman"/>
                <w:sz w:val="16"/>
                <w:szCs w:val="16"/>
                <w:highlight w:val="none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highlight w:val="none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highlight w:val="none"/>
              </w:rPr>
              <w:t xml:space="preserve">с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реднемноголетнее значение за 2019–2023 гг. – 19,9%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highlight w:val="none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rPr>
          <w:jc w:val="center"/>
          <w:trHeight w:val="20"/>
        </w:trPr>
        <w:tc>
          <w:tcPr>
            <w:gridSpan w:val="2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2428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240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3.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 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Лесистость территории Новосибирской области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vertAlign w:val="superscript"/>
              </w:rPr>
              <w:t xml:space="preserve">1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%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7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26,7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7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26,7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7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26,7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7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27,1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7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27,3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7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27,3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7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27,3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7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27,4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7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27,4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7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27,8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225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среднемноголетнее значение за 2010–2014 гг. – 26,7%,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среднемноголетнее значение за 2014–2018 гг. – 27,1%,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среднемноголетнее значение за 2015–2019 гг. – 27,2%,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среднемноголетнее значение за 2016–2020 гг. – 27,3%, среднемноголетнее значение за 2017–2021 гг. – 27,3%;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среднемноголетнее значение за 2018–2022 гг. – 20,4%;</w:t>
            </w:r>
            <w:r>
              <w:rPr>
                <w:rFonts w:ascii="Times New Roman" w:hAnsi="Times New Roman" w:cs="Times New Roman"/>
                <w:sz w:val="16"/>
                <w:szCs w:val="16"/>
                <w:highlight w:val="none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highlight w:val="none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highlight w:val="none"/>
              </w:rPr>
              <w:t xml:space="preserve">с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реднемноголетнее значение за 2019–2023 гг. – 27,5%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rPr>
          <w:jc w:val="center"/>
          <w:trHeight w:val="20"/>
        </w:trPr>
        <w:tc>
          <w:tcPr>
            <w:gridSpan w:val="2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2428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240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4. 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Отношение площади лесовосстановления и лесоразведения к площади вырубленных и погибших лесных насаждений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vertAlign w:val="superscript"/>
              </w:rPr>
              <w:t xml:space="preserve">1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%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7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–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7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–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7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–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7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–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7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110,6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7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100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7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100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7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100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7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100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7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100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225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индикатор введен с 2019 года (в качестве базового значения приводится фактическое значение 2018 года).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Индикатор является показателем регионального проекта «Сохранение лесов» в 2019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–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2024 годах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.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РП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</w:tr>
      <w:tr>
        <w:trPr>
          <w:jc w:val="center"/>
          <w:trHeight w:val="20"/>
        </w:trPr>
        <w:tc>
          <w:tcPr>
            <w:gridSpan w:val="2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242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Задача 2 цели государственной программы: повышение эффективности управления лесами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240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5. 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Объем платежей в бюджетную систему Российской Федерации от использования лесов, расположенных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на землях лесного фонда, в расчете на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 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1 га земель лесного фонда Новосибирской области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vertAlign w:val="superscript"/>
              </w:rPr>
              <w:t xml:space="preserve">1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руб.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7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20,7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7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22,5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7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23,2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7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28,3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7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39,3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7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45,8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7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45,5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7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52,3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7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53,0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7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58,7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225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среднемноголетнее значение за 2010–2014 гг. – 21 руб./га,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среднемноголетнее значение </w:t>
            </w:r>
            <w:r>
              <w:rPr>
                <w:rFonts w:ascii="Times New Roman" w:hAnsi="Times New Roman" w:cs="Times New Roman"/>
                <w:bCs/>
                <w:spacing w:val="-2"/>
                <w:sz w:val="16"/>
                <w:szCs w:val="16"/>
              </w:rPr>
              <w:t xml:space="preserve">за 2014–2018 гг. – 28,4 руб./га,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среднемноголетнее значение </w:t>
            </w:r>
            <w:r>
              <w:rPr>
                <w:rFonts w:ascii="Times New Roman" w:hAnsi="Times New Roman" w:cs="Times New Roman"/>
                <w:bCs/>
                <w:spacing w:val="-2"/>
                <w:sz w:val="16"/>
                <w:szCs w:val="16"/>
              </w:rPr>
              <w:t xml:space="preserve">за 2015–2019 гг. – 33,5 руб./га,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среднемноголетнее значение </w:t>
            </w:r>
            <w:r>
              <w:rPr>
                <w:rFonts w:ascii="Times New Roman" w:hAnsi="Times New Roman" w:cs="Times New Roman"/>
                <w:bCs/>
                <w:spacing w:val="-2"/>
                <w:sz w:val="16"/>
                <w:szCs w:val="16"/>
              </w:rPr>
              <w:t xml:space="preserve">за 2016–2020 гг. – 38,8 руб./га,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среднемноголетнее значение </w:t>
            </w:r>
            <w:r>
              <w:rPr>
                <w:rFonts w:ascii="Times New Roman" w:hAnsi="Times New Roman" w:cs="Times New Roman"/>
                <w:bCs/>
                <w:spacing w:val="-2"/>
                <w:sz w:val="16"/>
                <w:szCs w:val="16"/>
              </w:rPr>
              <w:t xml:space="preserve">за 2017–2021 гг. – 44,4 руб./га;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среднемноголетнее значение за 2018–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2022 гг. – 48,9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руб./га;</w:t>
            </w:r>
            <w:r>
              <w:rPr>
                <w:rFonts w:ascii="Times New Roman" w:hAnsi="Times New Roman" w:cs="Times New Roman"/>
                <w:sz w:val="16"/>
                <w:szCs w:val="16"/>
                <w:highlight w:val="none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highlight w:val="none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highlight w:val="none"/>
              </w:rPr>
              <w:t xml:space="preserve">с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реднемноголетнее значение за 2019–2023 гг. – 51,0%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highlight w:val="none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highlight w:val="none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rPr>
          <w:jc w:val="center"/>
          <w:trHeight w:val="20"/>
        </w:trPr>
        <w:tc>
          <w:tcPr>
            <w:gridSpan w:val="15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16024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  <w:outlineLvl w:val="3"/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Задача 1 цели государственной программы: сокращение потерь лесного хозяйства от пожаров, вредных организмов, создание условий для рационального и интенсивного использования лесов, повышение их продуктивности и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 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качества на основе их гарантированного воспроизводства и лесоразведения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</w:tr>
      <w:tr>
        <w:trPr>
          <w:jc w:val="center"/>
          <w:trHeight w:val="20"/>
        </w:trPr>
        <w:tc>
          <w:tcPr>
            <w:gridSpan w:val="15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16024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  <w:outlineLvl w:val="4"/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Подпрограмма 1 государственной программы «Обеспечение использования, охраны, защиты и воспроизводства лесов»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</w:tr>
      <w:tr>
        <w:trPr>
          <w:jc w:val="center"/>
          <w:trHeight w:val="20"/>
        </w:trPr>
        <w:tc>
          <w:tcPr>
            <w:gridSpan w:val="15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1602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  <w:outlineLvl w:val="5"/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Цель подпрограммы 1: сокращение потерь лесного хозяйства от пожаров, вредных организмов, создание условий для рационального и интенсивного использования лесов, повышение их продуктивности и качества на основе их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 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гарантированного воспроизводства и лесоразведения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</w:tr>
      <w:tr>
        <w:trPr>
          <w:jc w:val="center"/>
          <w:trHeight w:val="20"/>
        </w:trPr>
        <w:tc>
          <w:tcPr>
            <w:gridSpan w:val="2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2428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Задача 1 цели подпрограммы 1 государственной программы: повышение эффективности предупреждения и сокращения потерь лесного хозяйства от пожаров и вредных организмов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240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6. 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Площадь лесных пожаров на землях лесного фонда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vertAlign w:val="superscript"/>
              </w:rPr>
              <w:t xml:space="preserve">1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га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7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–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7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–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7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–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7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–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7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–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7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–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7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–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7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–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7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4329,1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7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1797,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69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225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индикатор введен с 2023 года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в качестве базового значения приводится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значение 2022 года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)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.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С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реднемноголет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нее значение за 201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–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202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гг.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–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2079,68 га, среднемноголетнее значение за 2018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–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2022 гг. – 2737,64 га;</w:t>
            </w:r>
            <w:r>
              <w:rPr>
                <w:rFonts w:ascii="Times New Roman" w:hAnsi="Times New Roman" w:cs="Times New Roman"/>
                <w:sz w:val="16"/>
                <w:szCs w:val="16"/>
                <w:highlight w:val="none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highlight w:val="none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highlight w:val="none"/>
              </w:rPr>
              <w:t xml:space="preserve">с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реднемноголетнее значение за 2019–2023 гг. –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3315,9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га.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rPr>
          <w:jc w:val="center"/>
          <w:trHeight w:val="20"/>
        </w:trPr>
        <w:tc>
          <w:tcPr>
            <w:gridSpan w:val="2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2428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240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7. 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Доля лесных пожаров, возникших по вине граждан, в общем количестве лесных пожаров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%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7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56,8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7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56,8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7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56,7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7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39,62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7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39,61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7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37,70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7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32,80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7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29,31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7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20,35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7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20,34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225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среднемноголетнее значение за 2010–2014 гг. – 56,8%,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среднемноголетнее значение за 2012–2016 гг. – 39,62%,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среднемноголетнее значение за 2014–2018 гг. – 37,74%,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среднемноголетнее значение за 2015–2019 гг. – 32,84%,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среднемноголетнее значение за 2016–2020 гг. – 29,32%, среднемноголетнее значение за 2017–2021 гг. – 28,81%, среднемноголетнее значение за 2018–2022 гг. – 31,05%;</w:t>
            </w:r>
            <w:r>
              <w:rPr>
                <w:rFonts w:ascii="Times New Roman" w:hAnsi="Times New Roman" w:cs="Times New Roman"/>
                <w:sz w:val="16"/>
                <w:szCs w:val="16"/>
                <w:highlight w:val="none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highlight w:val="none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highlight w:val="none"/>
              </w:rPr>
              <w:t xml:space="preserve">с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реднемноголетнее значение за 2019–2023 гг. – 32,73%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highlight w:val="none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rPr>
          <w:jc w:val="center"/>
          <w:trHeight w:val="20"/>
        </w:trPr>
        <w:tc>
          <w:tcPr>
            <w:gridSpan w:val="2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2428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240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8. 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Доля лесных пожаров, ликвидированных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в течение первых суток с момента обнаружения,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в общем количестве лесных пожаров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vertAlign w:val="superscript"/>
              </w:rPr>
              <w:t xml:space="preserve">1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%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7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99,7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7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93,1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7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93,9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7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94,7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7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95,68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7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99,95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7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99,95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7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99,95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7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99,95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7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99,95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225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среднемноголетнее значение за 2010–2014 гг. – 88,16%,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среднемноголетнее значение за 2012–2016 гг. – 95,67%,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среднемноголетнее значение за 2014–2018 гг. – 99,94%,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среднемноголетнее значение за 2015–2019 гг. – 100,0%,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среднемноголетнее значение за 2016–2020 гг. – 99,94%, среднемноголетнее значение за 2017–2021 гг. – 98,26%, среднемноголетнее значение за 2018–2022 гг. – 97,28%;</w:t>
            </w:r>
            <w:r>
              <w:rPr>
                <w:rFonts w:ascii="Times New Roman" w:hAnsi="Times New Roman" w:cs="Times New Roman"/>
                <w:sz w:val="16"/>
                <w:szCs w:val="16"/>
                <w:highlight w:val="none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highlight w:val="none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highlight w:val="none"/>
              </w:rPr>
              <w:t xml:space="preserve">с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реднемноголетнее значение за 2019–2023 гг. –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highlight w:val="none"/>
              </w:rPr>
              <w:t xml:space="preserve">97,18%.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highlight w:val="none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rPr>
          <w:jc w:val="center"/>
          <w:trHeight w:val="20"/>
        </w:trPr>
        <w:tc>
          <w:tcPr>
            <w:gridSpan w:val="2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2428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240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9. 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Доля крупных лесных пожаров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в общем количестве лесных пожаров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vertAlign w:val="superscript"/>
              </w:rPr>
              <w:t xml:space="preserve">1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%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7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0,3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7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1,4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7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1,3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7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1,3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7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1,3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7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–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7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–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7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–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7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–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7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–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225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с 2019 года показатель исключен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и не оценивается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</w:tr>
      <w:tr>
        <w:trPr>
          <w:jc w:val="center"/>
          <w:trHeight w:val="20"/>
        </w:trPr>
        <w:tc>
          <w:tcPr>
            <w:gridSpan w:val="2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2428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240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10.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 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Доля площади лесов на землях лесного фонда,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в которых осуществляются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в течение года наземные лесопатологические обследования,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в общей площади земель лесного фонда, покрытых лесной растительностью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%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7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0,41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7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0,41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7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0,41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7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0,41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7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0,2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7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–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7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–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7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–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7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–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7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–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225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с 2019 года показатель исключен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и не оценивается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</w:tr>
      <w:tr>
        <w:trPr>
          <w:jc w:val="center"/>
          <w:trHeight w:val="20"/>
        </w:trPr>
        <w:tc>
          <w:tcPr>
            <w:gridSpan w:val="2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2428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240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11. 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Отношение площади ликвидированных очагов вредных организмов в лесах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к площади очагов вредных организмов в лесах, требующих мер борьбы с ними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%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7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56,0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7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5,17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7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36,4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7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–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7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–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7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–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7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–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7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–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7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–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7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–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225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с 2017 года показатель исключен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и не оценивается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</w:tr>
      <w:tr>
        <w:trPr>
          <w:jc w:val="center"/>
          <w:trHeight w:val="20"/>
        </w:trPr>
        <w:tc>
          <w:tcPr>
            <w:gridSpan w:val="2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2428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240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12.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 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Отношение площади лесов,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на которых были проведены санитарно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оздоровительные мероприятия, к площади погибших и поврежденных лесов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vertAlign w:val="superscript"/>
              </w:rPr>
              <w:t xml:space="preserve">1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%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7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69,4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7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91,9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7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93,1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7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94,3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7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95,5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7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–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7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–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7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–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7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–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7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–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225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с 2019 года показатель исключен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и не оценивается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</w:tr>
      <w:tr>
        <w:trPr>
          <w:jc w:val="center"/>
          <w:trHeight w:val="20"/>
        </w:trPr>
        <w:tc>
          <w:tcPr>
            <w:gridSpan w:val="2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2428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240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13. 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Доля площади погибших и поврежденных лесных насаждений с учетом проведенных мероприятий по защите леса в общей площади земель лесного фонда, занятых лесными насаждениями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vertAlign w:val="superscript"/>
              </w:rPr>
              <w:t xml:space="preserve">1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%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7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–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7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–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7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–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7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–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7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0,08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7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1,9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7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0,2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7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0,129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7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0,126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7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0,100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225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индикатор введен с 2019 года, среднемноголетнее значение за 2014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–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2018 гг.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–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2,3%,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среднемноголетнее значение за 2015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–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2019 гг.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–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0,23%,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среднемноголетнее значение за 2016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–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2020 гг.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–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0,3%,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среднемноголетнее значение за 2017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–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2021 гг.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–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0,27% среднемноголетнее значение за 2018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–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2022 гг.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–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0,1%;</w:t>
            </w:r>
            <w:r>
              <w:rPr>
                <w:rFonts w:ascii="Times New Roman" w:hAnsi="Times New Roman" w:cs="Times New Roman"/>
                <w:sz w:val="16"/>
                <w:szCs w:val="16"/>
                <w:highlight w:val="none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highlight w:val="none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highlight w:val="none"/>
              </w:rPr>
              <w:t xml:space="preserve">с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реднемноголетнее значение за 2019–2023 гг. – 0,1%</w:t>
            </w:r>
            <w:r>
              <w:rPr>
                <w:rFonts w:ascii="Times New Roman" w:hAnsi="Times New Roman" w:cs="Times New Roman"/>
                <w:sz w:val="16"/>
                <w:szCs w:val="16"/>
                <w:highlight w:val="none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rPr>
          <w:jc w:val="center"/>
          <w:trHeight w:val="20"/>
        </w:trPr>
        <w:tc>
          <w:tcPr>
            <w:gridSpan w:val="2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2428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Задача 2 цели подпрограммы 1 государственной программы: создание условий для рационального и интенсивного использования лесов при сохранении их экологических функций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и биологического разнообразия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240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.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 xml:space="preserve"> 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Площадь лесов, находящихся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в составе земель лесного фонда, на которой проведены мероприятия лесоустройства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тыс. га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7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–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7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86,047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7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–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7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173,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506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7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35,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389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7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–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7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133,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853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7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–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7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–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7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–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225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</w:tr>
      <w:tr>
        <w:trPr>
          <w:jc w:val="center"/>
          <w:trHeight w:val="20"/>
        </w:trPr>
        <w:tc>
          <w:tcPr>
            <w:gridSpan w:val="2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2428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240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. 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Доля площади лесов, на которых проведена таксация лесов и в отношении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которых осуществлено проектирование мероприятий по охране, защите и воспроизводству в течение последних 10 лет, в площади лесов с интенсивным использованием лесов и ведением лесного хозяйства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vertAlign w:val="superscript"/>
              </w:rPr>
              <w:t xml:space="preserve">1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%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7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–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7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–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7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–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7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–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7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–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7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45,8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7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45,8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7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45,8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7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69,3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7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–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225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индикатор введен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с 2020 года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(в качестве базового значения приводится фактическое значение 2019 года)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с 2023 года показатель исключен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и не оценивается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</w:tr>
      <w:tr>
        <w:trPr>
          <w:jc w:val="center"/>
          <w:trHeight w:val="20"/>
        </w:trPr>
        <w:tc>
          <w:tcPr>
            <w:gridSpan w:val="2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2428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240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.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 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Площадь отвода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и таксации лесосек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тыс. га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7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30,3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7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44,8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7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39,9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7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39,9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7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39,9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7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43,4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7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28,1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7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25,1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7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25,1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7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29,2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225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</w:tr>
      <w:tr>
        <w:trPr>
          <w:jc w:val="center"/>
          <w:trHeight w:val="20"/>
        </w:trPr>
        <w:tc>
          <w:tcPr>
            <w:gridSpan w:val="2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2428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240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. 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Доля площади земель лесного фонда, переданных в пользование, в общей площади земель лесного фонда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на территории Новосибирской области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vertAlign w:val="superscript"/>
              </w:rPr>
              <w:t xml:space="preserve">1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%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7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19,4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7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19,4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7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30,1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7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30,2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7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29,5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7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29,5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7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29,1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7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28,9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7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28,9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7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29,0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225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</w:tr>
      <w:tr>
        <w:trPr>
          <w:jc w:val="center"/>
          <w:trHeight w:val="20"/>
        </w:trPr>
        <w:tc>
          <w:tcPr>
            <w:gridSpan w:val="2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2428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240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. 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Доля объема заготовки древесины выборочными рубками в общем объеме заготовки древесины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%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7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72,2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7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68,8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7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71,1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7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71,3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7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71,35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7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71,4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7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71,5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7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71,6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79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76,81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7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2,61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225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среднемноголетнее значение за 2010–2014 гг. – 65,0%,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среднемноголетнее значение за 2012–2016 гг. – 70,6%,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среднемноголетнее значение за 2014–2018 гг. – 70,4%,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среднемноголетнее значение за 2015–2019 гг. – 70,6%,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среднемноголетнее значение за 2016–2020 гг. – 70,94%, среднемноголетнее значение за 2017–2021 гг. – 72,87%, среднемноголетнее значение за 2018–2022 гг. – 72,61%;</w:t>
            </w:r>
            <w:r>
              <w:rPr>
                <w:rFonts w:ascii="Times New Roman" w:hAnsi="Times New Roman" w:cs="Times New Roman"/>
                <w:sz w:val="16"/>
                <w:szCs w:val="16"/>
                <w:highlight w:val="none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highlight w:val="none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highlight w:val="none"/>
              </w:rPr>
              <w:t xml:space="preserve">с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реднемноголетнее значение за 2019–2023 гг. – 72,47%.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highlight w:val="none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rPr>
          <w:jc w:val="center"/>
          <w:trHeight w:val="20"/>
        </w:trPr>
        <w:tc>
          <w:tcPr>
            <w:gridSpan w:val="2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2428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Задача 3 цели подпрограммы 1 государственной программы: повышение качества семян, улучшение селекционных и генетических свойств посадочного материала, восстановление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погибших и вырубленных лесов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240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. 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Доля семян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с улучшенными наследственными свойствами в общем объеме заготовленных семян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vertAlign w:val="superscript"/>
              </w:rPr>
              <w:t xml:space="preserve">1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%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7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46,3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7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26,9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7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27,1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7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27,3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7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27,5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7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19,7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7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13,0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7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12,6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7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12,7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7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12,8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225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среднемноголетнее значение за 2010–2014 гг. – 26,7%,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среднемноголетнее значение за 2012–2016 гг. – 20,4%,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среднемноголетнее значение за 2014–2018 гг. – 19,7%,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среднемноголетнее значение за 2015–2019 гг. – 12,8%,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среднемноголетнее значение за 2016–2020 гг. – 12,5%, среднемноголетнее значение за 2017–2021 гг. – 8,96%,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среднемноголетнее значение за 2018–2022 гг. – 10,6%;</w:t>
            </w:r>
            <w:r>
              <w:rPr>
                <w:rFonts w:ascii="Times New Roman" w:hAnsi="Times New Roman" w:cs="Times New Roman"/>
                <w:sz w:val="16"/>
                <w:szCs w:val="16"/>
                <w:highlight w:val="none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highlight w:val="none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highlight w:val="none"/>
              </w:rPr>
              <w:t xml:space="preserve">с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реднемноголетнее значение за 2019–2023 гг. – 13,34%.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highlight w:val="none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rPr>
          <w:jc w:val="center"/>
          <w:trHeight w:val="20"/>
        </w:trPr>
        <w:tc>
          <w:tcPr>
            <w:gridSpan w:val="2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2428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240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. 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Отношение площади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искусственного лесовосстановле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ния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к площади выбытия лесов в результате сплошных рубок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%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7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73,5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7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36,2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7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37,5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7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38,7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7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40,1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7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–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7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–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7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–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7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–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7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–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225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с 2018 года показатель исключен и не оценивается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</w:tr>
      <w:tr>
        <w:trPr>
          <w:jc w:val="center"/>
          <w:trHeight w:val="20"/>
        </w:trPr>
        <w:tc>
          <w:tcPr>
            <w:gridSpan w:val="2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2428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240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. Доля площади ценных лесных насаждений в составе занятых лесными насаждениями земель лесного фонда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на территории Новосибирской области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vertAlign w:val="superscript"/>
              </w:rPr>
              <w:t xml:space="preserve">1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%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7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88,6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7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88,6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7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88,6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7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–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7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–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7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–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7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–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7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–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7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–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7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–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225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с 2017 года применяется новая методика расчета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</w:tr>
      <w:tr>
        <w:trPr>
          <w:jc w:val="center"/>
          <w:trHeight w:val="20"/>
        </w:trPr>
        <w:tc>
          <w:tcPr>
            <w:gridSpan w:val="2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2428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240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. 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Доля площади ценных лесных насаждений в составе занятых лесными насаждениями земель лесного фонда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на территории Новосибирской области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vertAlign w:val="superscript"/>
              </w:rPr>
              <w:t xml:space="preserve">1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%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7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–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7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–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7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21,8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7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21,8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7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21,8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7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–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7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–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7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–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7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–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7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–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225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индикатор введен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с 2017 года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(в качестве базового значения приводится фактическое значение 2016 года), с 2019 года показатель исключен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и не оценивается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</w:tr>
      <w:tr>
        <w:trPr>
          <w:jc w:val="center"/>
          <w:trHeight w:val="20"/>
        </w:trPr>
        <w:tc>
          <w:tcPr>
            <w:gridSpan w:val="15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1602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  <w:outlineLvl w:val="3"/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Задача 2 цели государственной программы: повышение эффективности управления лесами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</w:tr>
      <w:tr>
        <w:trPr>
          <w:jc w:val="center"/>
          <w:trHeight w:val="20"/>
        </w:trPr>
        <w:tc>
          <w:tcPr>
            <w:gridSpan w:val="15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1602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  <w:outlineLvl w:val="4"/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Подпрограмма 2 «Обеспечение реализации государственной программы «Развитие лесного хозяйства Новосибирской области»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</w:tr>
      <w:tr>
        <w:trPr>
          <w:jc w:val="center"/>
          <w:trHeight w:val="20"/>
        </w:trPr>
        <w:tc>
          <w:tcPr>
            <w:gridSpan w:val="15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1602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  <w:outlineLvl w:val="5"/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Цель подпрограммы 2 государственной программы: повышение эффективности управления лесами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</w:tr>
      <w:tr>
        <w:trPr>
          <w:jc w:val="center"/>
          <w:trHeight w:val="20"/>
        </w:trPr>
        <w:tc>
          <w:tcPr>
            <w:gridSpan w:val="2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2428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Задача 1 цели подпрограммы 2 государственной программы: обеспечение соблюдения требований законодательства в сфере лесных отношений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240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.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 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Отношение количества случаев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с установленными нарушителями лесного законодательства к об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щему количеству зарегистрирован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ных случаев нарушений лесного законодательства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%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7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93,4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7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93,9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7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94,6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7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95,3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7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96,0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7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–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7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–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7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–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7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–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7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–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225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с 2019 года показатель исключен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и не оценивается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</w:tr>
      <w:tr>
        <w:trPr>
          <w:jc w:val="center"/>
          <w:trHeight w:val="20"/>
        </w:trPr>
        <w:tc>
          <w:tcPr>
            <w:gridSpan w:val="2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2428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240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. 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Отношение суммы возмещенного ущерба от нарушений лесного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законодательства к сумме нанесенного ущерба от нарушений лесного законодательства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%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7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18,7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7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12,0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7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13,0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7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18,2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7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18,3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7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–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7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–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7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–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7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–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7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–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225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с 2019 года показатель исключен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и не оценивается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</w:tr>
      <w:tr>
        <w:trPr>
          <w:jc w:val="center"/>
          <w:trHeight w:val="20"/>
        </w:trPr>
        <w:tc>
          <w:tcPr>
            <w:gridSpan w:val="2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2428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240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.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 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Динамика предотвращения возникновения нарушений лесного законодательства, причиняющих вред лесам, относительно уровня нарушений предыдущего года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vertAlign w:val="superscript"/>
              </w:rPr>
              <w:t xml:space="preserve">1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%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7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–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7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–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7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–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7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–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7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4,7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7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7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5,1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7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5,1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7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5,1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7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3,0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225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среднемноголетнее значение за 2015–2018 гг. – 4,7%, индикатор введен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с 2019 года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</w:tr>
      <w:tr>
        <w:trPr>
          <w:jc w:val="center"/>
          <w:trHeight w:val="20"/>
        </w:trPr>
        <w:tc>
          <w:tcPr>
            <w:gridSpan w:val="2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242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240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 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Средняя численность должностных лиц, осуществляющих федеральный государственный лесной контроль (надзор),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br/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на 50 тыс. га земель лесного фонда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vertAlign w:val="superscript"/>
              </w:rPr>
              <w:t xml:space="preserve">1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чел.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7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–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7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–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7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–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7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–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7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1,7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7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1,7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7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1,7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7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1,69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7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1,67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7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–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225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с 2023 года показатель исключен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и не оценивается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</w:tr>
      <w:tr>
        <w:trPr>
          <w:jc w:val="center"/>
          <w:trHeight w:val="20"/>
        </w:trPr>
        <w:tc>
          <w:tcPr>
            <w:gridSpan w:val="2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2428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240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. 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Доля выписок, предоставленных гражданам и юридическим лицам, обратившимся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в министерство природных ресурсов и экологии Новосибирской области за получением государственной услуги по предоставлению выписки из государственного лесного реестра, в общем количестве принятых заявок на предоставление такой услуги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%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7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–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7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–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7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–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7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–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7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90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7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90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7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100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7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100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7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100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7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–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225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с 2023 года показатель исключен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и не оценивается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</w:tr>
      <w:tr>
        <w:trPr>
          <w:jc w:val="center"/>
          <w:trHeight w:val="20"/>
        </w:trPr>
        <w:tc>
          <w:tcPr>
            <w:gridSpan w:val="2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2428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Задача 2 цели подпрограммы 2 государственной программы: создание условий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для повышения уровня кадрового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потенциала, производительности труда в лесном секторе Новосибирской области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240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. 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Доля обучающихся, успешно прошедших государственную (итоговую) аттестацию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%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7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7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7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7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7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7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7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–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7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–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7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–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7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–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225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с 2020 года показатель исключен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и не оценивается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</w:tr>
      <w:tr>
        <w:trPr>
          <w:jc w:val="center"/>
          <w:trHeight w:val="20"/>
        </w:trPr>
        <w:tc>
          <w:tcPr>
            <w:gridSpan w:val="2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2428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240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. 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Отношение средней заработной платы преподавателей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и мастеров производственного обучения в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ГБПОУ НСО «ТЛТ» к средней заработной плате по Новосибирской области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vertAlign w:val="superscript"/>
              </w:rPr>
              <w:t xml:space="preserve">2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%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7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100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7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100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7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100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7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100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7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100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7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100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7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–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7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–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7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–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7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–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225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с 2020 года показатель исключен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и не оценивается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</w:tr>
      <w:tr>
        <w:trPr>
          <w:jc w:val="center"/>
          <w:trHeight w:val="20"/>
        </w:trPr>
        <w:tc>
          <w:tcPr>
            <w:gridSpan w:val="2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2428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240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. 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Доля специалистов лесного хозяйства, прошедших повышение квалификации,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в общей численности работников лесного хозяйства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%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7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3,5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7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7,9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7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9,9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7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6,2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7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9,9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7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9,9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7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3,3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7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8,3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7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9,4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7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10,0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225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</w:tr>
      <w:tr>
        <w:trPr>
          <w:jc w:val="center"/>
          <w:trHeight w:val="20"/>
        </w:trPr>
        <w:tc>
          <w:tcPr>
            <w:gridSpan w:val="2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2428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240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.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 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Прирост производитель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ности труда в лесном секторе Новосибирской области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к предыдущему году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%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7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7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7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7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7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7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7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7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7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7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225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</w:tr>
    </w:tbl>
    <w:p>
      <w:pPr>
        <w:pStyle w:val="859"/>
        <w:ind w:left="0" w:firstLine="709"/>
        <w:jc w:val="both"/>
        <w:rPr>
          <w:sz w:val="28"/>
          <w:szCs w:val="28"/>
        </w:rPr>
      </w:pPr>
      <w:r/>
      <w:bookmarkStart w:id="1" w:name="Par490"/>
      <w:r/>
      <w:bookmarkEnd w:id="1"/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4"/>
        <w:ind w:firstLine="709"/>
        <w:jc w:val="both"/>
        <w:rPr>
          <w:sz w:val="28"/>
          <w:szCs w:val="28"/>
        </w:rPr>
      </w:pPr>
      <w:r>
        <w:rPr>
          <w:sz w:val="28"/>
          <w:szCs w:val="28"/>
          <w:vertAlign w:val="superscript"/>
        </w:rPr>
        <w:t xml:space="preserve">1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зна</w:t>
      </w:r>
      <w:r>
        <w:rPr>
          <w:sz w:val="28"/>
          <w:szCs w:val="28"/>
        </w:rPr>
        <w:t xml:space="preserve">чения целевых индикаторов на 2015</w:t>
      </w:r>
      <w:r>
        <w:rPr>
          <w:sz w:val="28"/>
          <w:szCs w:val="28"/>
        </w:rPr>
        <w:t xml:space="preserve">–20</w:t>
      </w:r>
      <w:r>
        <w:rPr>
          <w:sz w:val="28"/>
          <w:szCs w:val="28"/>
        </w:rPr>
        <w:t xml:space="preserve">23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гг. установлен</w:t>
      </w:r>
      <w:r>
        <w:rPr>
          <w:sz w:val="28"/>
          <w:szCs w:val="28"/>
        </w:rPr>
        <w:t xml:space="preserve">ы</w:t>
      </w:r>
      <w:r>
        <w:rPr>
          <w:sz w:val="28"/>
          <w:szCs w:val="28"/>
        </w:rPr>
        <w:t xml:space="preserve"> в соответствии с показателями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утвержденными для Новосибирской области государственной программой Российской Федерации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Развитие лесного хозяйства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, утвержденной постановлением Правит</w:t>
      </w:r>
      <w:r>
        <w:rPr>
          <w:sz w:val="28"/>
          <w:szCs w:val="28"/>
        </w:rPr>
        <w:t xml:space="preserve">ельства Российской Федерации от </w:t>
      </w:r>
      <w:r>
        <w:rPr>
          <w:sz w:val="28"/>
          <w:szCs w:val="28"/>
        </w:rPr>
        <w:t xml:space="preserve">15.04.2014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318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9"/>
        <w:ind w:left="0" w:firstLine="709"/>
        <w:jc w:val="both"/>
        <w:rPr>
          <w:sz w:val="28"/>
          <w:szCs w:val="28"/>
        </w:rPr>
      </w:pPr>
      <w:r>
        <w:rPr>
          <w:rFonts w:eastAsiaTheme="minorHAnsi"/>
          <w:color w:val="000000"/>
          <w:sz w:val="28"/>
          <w:szCs w:val="28"/>
          <w:vertAlign w:val="superscript"/>
          <w:lang w:eastAsia="en-US"/>
        </w:rPr>
        <w:t xml:space="preserve">2</w:t>
      </w:r>
      <w:r>
        <w:rPr>
          <w:sz w:val="28"/>
          <w:szCs w:val="28"/>
        </w:rPr>
        <w:t xml:space="preserve"> – с 2016 года значения рассчитываются с учетом прогнозных значений среднемесячной начисленной заработной платы наемных работников в организациях, у индивидуальных предпринимателей и физических лиц.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9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9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Применяемое сокращение: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9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ГБПОУ НСО «ТЛТ» – государственное бюджетное профессиональное образовательное учреждение Новосибирской области</w:t>
      </w:r>
      <w:r>
        <w:rPr>
          <w:sz w:val="28"/>
          <w:szCs w:val="28"/>
        </w:rPr>
        <w:t xml:space="preserve"> «Тогучинский лесхоз-техникум».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9"/>
        <w:ind w:left="0"/>
        <w:jc w:val="center"/>
        <w:tabs>
          <w:tab w:val="left" w:pos="1755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</w:t>
      </w:r>
      <w:r>
        <w:rPr>
          <w:rFonts w:ascii="Times New Roman" w:hAnsi="Times New Roman" w:cs="Times New Roman"/>
          <w:sz w:val="28"/>
          <w:szCs w:val="28"/>
        </w:rPr>
        <w:t xml:space="preserve">».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headerReference w:type="default" r:id="rId8"/>
      <w:footnotePr/>
      <w:endnotePr/>
      <w:type w:val="nextPage"/>
      <w:pgSz w:w="16838" w:h="11905" w:orient="landscape"/>
      <w:pgMar w:top="1418" w:right="567" w:bottom="567" w:left="567" w:header="720" w:footer="72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999425588"/>
      <w:docPartObj>
        <w:docPartGallery w:val="Page Numbers (Top of Page)"/>
        <w:docPartUnique w:val="true"/>
      </w:docPartObj>
      <w:rPr/>
    </w:sdtPr>
    <w:sdtContent>
      <w:p>
        <w:pPr>
          <w:pStyle w:val="860"/>
          <w:jc w:val="center"/>
          <w:rPr>
            <w:rFonts w:ascii="Times New Roman" w:hAnsi="Times New Roman" w:cs="Times New Roman"/>
            <w:sz w:val="20"/>
            <w:szCs w:val="20"/>
          </w:rPr>
        </w:pPr>
        <w:r>
          <w:rPr>
            <w:rFonts w:ascii="Times New Roman" w:hAnsi="Times New Roman" w:cs="Times New Roman"/>
            <w:sz w:val="20"/>
            <w:szCs w:val="20"/>
          </w:rPr>
          <w:fldChar w:fldCharType="begin"/>
        </w:r>
        <w:r>
          <w:rPr>
            <w:rFonts w:ascii="Times New Roman" w:hAnsi="Times New Roman" w:cs="Times New Roman"/>
            <w:sz w:val="20"/>
            <w:szCs w:val="20"/>
          </w:rPr>
          <w:instrText xml:space="preserve">PAGE   \* MERGEFORMAT</w:instrText>
        </w:r>
        <w:r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sz w:val="20"/>
            <w:szCs w:val="20"/>
          </w:rPr>
          <w:t xml:space="preserve">2</w:t>
        </w:r>
        <w:r>
          <w:rPr>
            <w:rFonts w:ascii="Times New Roman" w:hAnsi="Times New Roman" w:cs="Times New Roman"/>
            <w:sz w:val="20"/>
            <w:szCs w:val="20"/>
          </w:rPr>
          <w:fldChar w:fldCharType="end"/>
        </w:r>
        <w:r>
          <w:rPr>
            <w:rFonts w:ascii="Times New Roman" w:hAnsi="Times New Roman" w:cs="Times New Roman"/>
            <w:sz w:val="20"/>
            <w:szCs w:val="20"/>
          </w:rPr>
        </w:r>
        <w:r>
          <w:rPr>
            <w:rFonts w:ascii="Times New Roman" w:hAnsi="Times New Roman" w:cs="Times New Roman"/>
            <w:sz w:val="20"/>
            <w:szCs w:val="20"/>
          </w:rPr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6">
    <w:name w:val="Heading 1"/>
    <w:basedOn w:val="851"/>
    <w:next w:val="851"/>
    <w:link w:val="67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7">
    <w:name w:val="Heading 1 Char"/>
    <w:basedOn w:val="852"/>
    <w:link w:val="676"/>
    <w:uiPriority w:val="9"/>
    <w:rPr>
      <w:rFonts w:ascii="Arial" w:hAnsi="Arial" w:eastAsia="Arial" w:cs="Arial"/>
      <w:sz w:val="40"/>
      <w:szCs w:val="40"/>
    </w:rPr>
  </w:style>
  <w:style w:type="paragraph" w:styleId="678">
    <w:name w:val="Heading 2"/>
    <w:basedOn w:val="851"/>
    <w:next w:val="851"/>
    <w:link w:val="67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9">
    <w:name w:val="Heading 2 Char"/>
    <w:basedOn w:val="852"/>
    <w:link w:val="678"/>
    <w:uiPriority w:val="9"/>
    <w:rPr>
      <w:rFonts w:ascii="Arial" w:hAnsi="Arial" w:eastAsia="Arial" w:cs="Arial"/>
      <w:sz w:val="34"/>
    </w:rPr>
  </w:style>
  <w:style w:type="paragraph" w:styleId="680">
    <w:name w:val="Heading 3"/>
    <w:basedOn w:val="851"/>
    <w:next w:val="851"/>
    <w:link w:val="68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1">
    <w:name w:val="Heading 3 Char"/>
    <w:basedOn w:val="852"/>
    <w:link w:val="680"/>
    <w:uiPriority w:val="9"/>
    <w:rPr>
      <w:rFonts w:ascii="Arial" w:hAnsi="Arial" w:eastAsia="Arial" w:cs="Arial"/>
      <w:sz w:val="30"/>
      <w:szCs w:val="30"/>
    </w:rPr>
  </w:style>
  <w:style w:type="paragraph" w:styleId="682">
    <w:name w:val="Heading 4"/>
    <w:basedOn w:val="851"/>
    <w:next w:val="851"/>
    <w:link w:val="68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3">
    <w:name w:val="Heading 4 Char"/>
    <w:basedOn w:val="852"/>
    <w:link w:val="682"/>
    <w:uiPriority w:val="9"/>
    <w:rPr>
      <w:rFonts w:ascii="Arial" w:hAnsi="Arial" w:eastAsia="Arial" w:cs="Arial"/>
      <w:b/>
      <w:bCs/>
      <w:sz w:val="26"/>
      <w:szCs w:val="26"/>
    </w:rPr>
  </w:style>
  <w:style w:type="paragraph" w:styleId="684">
    <w:name w:val="Heading 5"/>
    <w:basedOn w:val="851"/>
    <w:next w:val="851"/>
    <w:link w:val="68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5">
    <w:name w:val="Heading 5 Char"/>
    <w:basedOn w:val="852"/>
    <w:link w:val="684"/>
    <w:uiPriority w:val="9"/>
    <w:rPr>
      <w:rFonts w:ascii="Arial" w:hAnsi="Arial" w:eastAsia="Arial" w:cs="Arial"/>
      <w:b/>
      <w:bCs/>
      <w:sz w:val="24"/>
      <w:szCs w:val="24"/>
    </w:rPr>
  </w:style>
  <w:style w:type="paragraph" w:styleId="686">
    <w:name w:val="Heading 6"/>
    <w:basedOn w:val="851"/>
    <w:next w:val="851"/>
    <w:link w:val="68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7">
    <w:name w:val="Heading 6 Char"/>
    <w:basedOn w:val="852"/>
    <w:link w:val="686"/>
    <w:uiPriority w:val="9"/>
    <w:rPr>
      <w:rFonts w:ascii="Arial" w:hAnsi="Arial" w:eastAsia="Arial" w:cs="Arial"/>
      <w:b/>
      <w:bCs/>
      <w:sz w:val="22"/>
      <w:szCs w:val="22"/>
    </w:rPr>
  </w:style>
  <w:style w:type="paragraph" w:styleId="688">
    <w:name w:val="Heading 7"/>
    <w:basedOn w:val="851"/>
    <w:next w:val="851"/>
    <w:link w:val="68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9">
    <w:name w:val="Heading 7 Char"/>
    <w:basedOn w:val="852"/>
    <w:link w:val="68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0">
    <w:name w:val="Heading 8"/>
    <w:basedOn w:val="851"/>
    <w:next w:val="851"/>
    <w:link w:val="69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1">
    <w:name w:val="Heading 8 Char"/>
    <w:basedOn w:val="852"/>
    <w:link w:val="690"/>
    <w:uiPriority w:val="9"/>
    <w:rPr>
      <w:rFonts w:ascii="Arial" w:hAnsi="Arial" w:eastAsia="Arial" w:cs="Arial"/>
      <w:i/>
      <w:iCs/>
      <w:sz w:val="22"/>
      <w:szCs w:val="22"/>
    </w:rPr>
  </w:style>
  <w:style w:type="paragraph" w:styleId="692">
    <w:name w:val="Heading 9"/>
    <w:basedOn w:val="851"/>
    <w:next w:val="851"/>
    <w:link w:val="69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3">
    <w:name w:val="Heading 9 Char"/>
    <w:basedOn w:val="852"/>
    <w:link w:val="692"/>
    <w:uiPriority w:val="9"/>
    <w:rPr>
      <w:rFonts w:ascii="Arial" w:hAnsi="Arial" w:eastAsia="Arial" w:cs="Arial"/>
      <w:i/>
      <w:iCs/>
      <w:sz w:val="21"/>
      <w:szCs w:val="21"/>
    </w:rPr>
  </w:style>
  <w:style w:type="paragraph" w:styleId="694">
    <w:name w:val="No Spacing"/>
    <w:uiPriority w:val="1"/>
    <w:qFormat/>
    <w:pPr>
      <w:spacing w:before="0" w:after="0" w:line="240" w:lineRule="auto"/>
    </w:pPr>
  </w:style>
  <w:style w:type="paragraph" w:styleId="695">
    <w:name w:val="Title"/>
    <w:basedOn w:val="851"/>
    <w:next w:val="851"/>
    <w:link w:val="69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6">
    <w:name w:val="Title Char"/>
    <w:basedOn w:val="852"/>
    <w:link w:val="695"/>
    <w:uiPriority w:val="10"/>
    <w:rPr>
      <w:sz w:val="48"/>
      <w:szCs w:val="48"/>
    </w:rPr>
  </w:style>
  <w:style w:type="paragraph" w:styleId="697">
    <w:name w:val="Subtitle"/>
    <w:basedOn w:val="851"/>
    <w:next w:val="851"/>
    <w:link w:val="698"/>
    <w:uiPriority w:val="11"/>
    <w:qFormat/>
    <w:pPr>
      <w:spacing w:before="200" w:after="200"/>
    </w:pPr>
    <w:rPr>
      <w:sz w:val="24"/>
      <w:szCs w:val="24"/>
    </w:rPr>
  </w:style>
  <w:style w:type="character" w:styleId="698">
    <w:name w:val="Subtitle Char"/>
    <w:basedOn w:val="852"/>
    <w:link w:val="697"/>
    <w:uiPriority w:val="11"/>
    <w:rPr>
      <w:sz w:val="24"/>
      <w:szCs w:val="24"/>
    </w:rPr>
  </w:style>
  <w:style w:type="paragraph" w:styleId="699">
    <w:name w:val="Quote"/>
    <w:basedOn w:val="851"/>
    <w:next w:val="851"/>
    <w:link w:val="700"/>
    <w:uiPriority w:val="29"/>
    <w:qFormat/>
    <w:pPr>
      <w:ind w:left="720" w:right="720"/>
    </w:pPr>
    <w:rPr>
      <w:i/>
    </w:rPr>
  </w:style>
  <w:style w:type="character" w:styleId="700">
    <w:name w:val="Quote Char"/>
    <w:link w:val="699"/>
    <w:uiPriority w:val="29"/>
    <w:rPr>
      <w:i/>
    </w:rPr>
  </w:style>
  <w:style w:type="paragraph" w:styleId="701">
    <w:name w:val="Intense Quote"/>
    <w:basedOn w:val="851"/>
    <w:next w:val="851"/>
    <w:link w:val="70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2">
    <w:name w:val="Intense Quote Char"/>
    <w:link w:val="701"/>
    <w:uiPriority w:val="30"/>
    <w:rPr>
      <w:i/>
    </w:rPr>
  </w:style>
  <w:style w:type="character" w:styleId="703">
    <w:name w:val="Header Char"/>
    <w:basedOn w:val="852"/>
    <w:link w:val="860"/>
    <w:uiPriority w:val="99"/>
  </w:style>
  <w:style w:type="character" w:styleId="704">
    <w:name w:val="Footer Char"/>
    <w:basedOn w:val="852"/>
    <w:link w:val="862"/>
    <w:uiPriority w:val="99"/>
  </w:style>
  <w:style w:type="paragraph" w:styleId="705">
    <w:name w:val="Caption"/>
    <w:basedOn w:val="851"/>
    <w:next w:val="85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6">
    <w:name w:val="Caption Char"/>
    <w:basedOn w:val="705"/>
    <w:link w:val="862"/>
    <w:uiPriority w:val="99"/>
  </w:style>
  <w:style w:type="table" w:styleId="707">
    <w:name w:val="Table Grid"/>
    <w:basedOn w:val="85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8">
    <w:name w:val="Table Grid Light"/>
    <w:basedOn w:val="85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9">
    <w:name w:val="Plain Table 1"/>
    <w:basedOn w:val="85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2"/>
    <w:basedOn w:val="85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1">
    <w:name w:val="Plain Table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2">
    <w:name w:val="Plain Table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Plain Table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4">
    <w:name w:val="Grid Table 1 Light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4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6">
    <w:name w:val="Grid Table 4 - Accent 1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7">
    <w:name w:val="Grid Table 4 - Accent 2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8">
    <w:name w:val="Grid Table 4 - Accent 3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9">
    <w:name w:val="Grid Table 4 - Accent 4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0">
    <w:name w:val="Grid Table 4 - Accent 5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1">
    <w:name w:val="Grid Table 4 - Accent 6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2">
    <w:name w:val="Grid Table 5 Dark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3">
    <w:name w:val="Grid Table 5 Dark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46">
    <w:name w:val="Grid Table 5 Dark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49">
    <w:name w:val="Grid Table 6 Colorful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0">
    <w:name w:val="Grid Table 6 Colorful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1">
    <w:name w:val="Grid Table 6 Colorful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2">
    <w:name w:val="Grid Table 6 Colorful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3">
    <w:name w:val="Grid Table 6 Colorful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4">
    <w:name w:val="Grid Table 6 Colorful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5">
    <w:name w:val="Grid Table 6 Colorful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6">
    <w:name w:val="Grid Table 7 Colorful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1">
    <w:name w:val="List Table 2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2">
    <w:name w:val="List Table 2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3">
    <w:name w:val="List Table 2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4">
    <w:name w:val="List Table 2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5">
    <w:name w:val="List Table 2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6">
    <w:name w:val="List Table 2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7">
    <w:name w:val="List Table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5 Dark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6 Colorful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9">
    <w:name w:val="List Table 6 Colorful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0">
    <w:name w:val="List Table 6 Colorful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1">
    <w:name w:val="List Table 6 Colorful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2">
    <w:name w:val="List Table 6 Colorful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3">
    <w:name w:val="List Table 6 Colorful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4">
    <w:name w:val="List Table 6 Colorful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5">
    <w:name w:val="List Table 7 Colorful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6">
    <w:name w:val="List Table 7 Colorful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07">
    <w:name w:val="List Table 7 Colorful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08">
    <w:name w:val="List Table 7 Colorful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09">
    <w:name w:val="List Table 7 Colorful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10">
    <w:name w:val="List Table 7 Colorful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11">
    <w:name w:val="List Table 7 Colorful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12">
    <w:name w:val="Lined - Accent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3">
    <w:name w:val="Lined - Accent 1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14">
    <w:name w:val="Lined - Accent 2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5">
    <w:name w:val="Lined - Accent 3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6">
    <w:name w:val="Lined - Accent 4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7">
    <w:name w:val="Lined - Accent 5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18">
    <w:name w:val="Lined - Accent 6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9">
    <w:name w:val="Bordered &amp; Lined - Accent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0">
    <w:name w:val="Bordered &amp; Lined - Accent 1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1">
    <w:name w:val="Bordered &amp; Lined - Accent 2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2">
    <w:name w:val="Bordered &amp; Lined - Accent 3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3">
    <w:name w:val="Bordered &amp; Lined - Accent 4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4">
    <w:name w:val="Bordered &amp; Lined - Accent 5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5">
    <w:name w:val="Bordered &amp; Lined - Accent 6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6">
    <w:name w:val="Bordered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7">
    <w:name w:val="Bordered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8">
    <w:name w:val="Bordered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9">
    <w:name w:val="Bordered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0">
    <w:name w:val="Bordered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1">
    <w:name w:val="Bordered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2">
    <w:name w:val="Bordered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3">
    <w:name w:val="Hyperlink"/>
    <w:uiPriority w:val="99"/>
    <w:unhideWhenUsed/>
    <w:rPr>
      <w:color w:val="0000ff" w:themeColor="hyperlink"/>
      <w:u w:val="single"/>
    </w:rPr>
  </w:style>
  <w:style w:type="paragraph" w:styleId="834">
    <w:name w:val="footnote text"/>
    <w:basedOn w:val="851"/>
    <w:link w:val="835"/>
    <w:uiPriority w:val="99"/>
    <w:semiHidden/>
    <w:unhideWhenUsed/>
    <w:pPr>
      <w:spacing w:after="40" w:line="240" w:lineRule="auto"/>
    </w:pPr>
    <w:rPr>
      <w:sz w:val="18"/>
    </w:rPr>
  </w:style>
  <w:style w:type="character" w:styleId="835">
    <w:name w:val="Footnote Text Char"/>
    <w:link w:val="834"/>
    <w:uiPriority w:val="99"/>
    <w:rPr>
      <w:sz w:val="18"/>
    </w:rPr>
  </w:style>
  <w:style w:type="character" w:styleId="836">
    <w:name w:val="footnote reference"/>
    <w:basedOn w:val="852"/>
    <w:uiPriority w:val="99"/>
    <w:unhideWhenUsed/>
    <w:rPr>
      <w:vertAlign w:val="superscript"/>
    </w:rPr>
  </w:style>
  <w:style w:type="paragraph" w:styleId="837">
    <w:name w:val="endnote text"/>
    <w:basedOn w:val="851"/>
    <w:link w:val="838"/>
    <w:uiPriority w:val="99"/>
    <w:semiHidden/>
    <w:unhideWhenUsed/>
    <w:pPr>
      <w:spacing w:after="0" w:line="240" w:lineRule="auto"/>
    </w:pPr>
    <w:rPr>
      <w:sz w:val="20"/>
    </w:rPr>
  </w:style>
  <w:style w:type="character" w:styleId="838">
    <w:name w:val="Endnote Text Char"/>
    <w:link w:val="837"/>
    <w:uiPriority w:val="99"/>
    <w:rPr>
      <w:sz w:val="20"/>
    </w:rPr>
  </w:style>
  <w:style w:type="character" w:styleId="839">
    <w:name w:val="endnote reference"/>
    <w:basedOn w:val="852"/>
    <w:uiPriority w:val="99"/>
    <w:semiHidden/>
    <w:unhideWhenUsed/>
    <w:rPr>
      <w:vertAlign w:val="superscript"/>
    </w:rPr>
  </w:style>
  <w:style w:type="paragraph" w:styleId="840">
    <w:name w:val="toc 1"/>
    <w:basedOn w:val="851"/>
    <w:next w:val="851"/>
    <w:uiPriority w:val="39"/>
    <w:unhideWhenUsed/>
    <w:pPr>
      <w:ind w:left="0" w:right="0" w:firstLine="0"/>
      <w:spacing w:after="57"/>
    </w:pPr>
  </w:style>
  <w:style w:type="paragraph" w:styleId="841">
    <w:name w:val="toc 2"/>
    <w:basedOn w:val="851"/>
    <w:next w:val="851"/>
    <w:uiPriority w:val="39"/>
    <w:unhideWhenUsed/>
    <w:pPr>
      <w:ind w:left="283" w:right="0" w:firstLine="0"/>
      <w:spacing w:after="57"/>
    </w:pPr>
  </w:style>
  <w:style w:type="paragraph" w:styleId="842">
    <w:name w:val="toc 3"/>
    <w:basedOn w:val="851"/>
    <w:next w:val="851"/>
    <w:uiPriority w:val="39"/>
    <w:unhideWhenUsed/>
    <w:pPr>
      <w:ind w:left="567" w:right="0" w:firstLine="0"/>
      <w:spacing w:after="57"/>
    </w:pPr>
  </w:style>
  <w:style w:type="paragraph" w:styleId="843">
    <w:name w:val="toc 4"/>
    <w:basedOn w:val="851"/>
    <w:next w:val="851"/>
    <w:uiPriority w:val="39"/>
    <w:unhideWhenUsed/>
    <w:pPr>
      <w:ind w:left="850" w:right="0" w:firstLine="0"/>
      <w:spacing w:after="57"/>
    </w:pPr>
  </w:style>
  <w:style w:type="paragraph" w:styleId="844">
    <w:name w:val="toc 5"/>
    <w:basedOn w:val="851"/>
    <w:next w:val="851"/>
    <w:uiPriority w:val="39"/>
    <w:unhideWhenUsed/>
    <w:pPr>
      <w:ind w:left="1134" w:right="0" w:firstLine="0"/>
      <w:spacing w:after="57"/>
    </w:pPr>
  </w:style>
  <w:style w:type="paragraph" w:styleId="845">
    <w:name w:val="toc 6"/>
    <w:basedOn w:val="851"/>
    <w:next w:val="851"/>
    <w:uiPriority w:val="39"/>
    <w:unhideWhenUsed/>
    <w:pPr>
      <w:ind w:left="1417" w:right="0" w:firstLine="0"/>
      <w:spacing w:after="57"/>
    </w:pPr>
  </w:style>
  <w:style w:type="paragraph" w:styleId="846">
    <w:name w:val="toc 7"/>
    <w:basedOn w:val="851"/>
    <w:next w:val="851"/>
    <w:uiPriority w:val="39"/>
    <w:unhideWhenUsed/>
    <w:pPr>
      <w:ind w:left="1701" w:right="0" w:firstLine="0"/>
      <w:spacing w:after="57"/>
    </w:pPr>
  </w:style>
  <w:style w:type="paragraph" w:styleId="847">
    <w:name w:val="toc 8"/>
    <w:basedOn w:val="851"/>
    <w:next w:val="851"/>
    <w:uiPriority w:val="39"/>
    <w:unhideWhenUsed/>
    <w:pPr>
      <w:ind w:left="1984" w:right="0" w:firstLine="0"/>
      <w:spacing w:after="57"/>
    </w:pPr>
  </w:style>
  <w:style w:type="paragraph" w:styleId="848">
    <w:name w:val="toc 9"/>
    <w:basedOn w:val="851"/>
    <w:next w:val="851"/>
    <w:uiPriority w:val="39"/>
    <w:unhideWhenUsed/>
    <w:pPr>
      <w:ind w:left="2268" w:right="0" w:firstLine="0"/>
      <w:spacing w:after="57"/>
    </w:pPr>
  </w:style>
  <w:style w:type="paragraph" w:styleId="849">
    <w:name w:val="TOC Heading"/>
    <w:uiPriority w:val="39"/>
    <w:unhideWhenUsed/>
  </w:style>
  <w:style w:type="paragraph" w:styleId="850">
    <w:name w:val="table of figures"/>
    <w:basedOn w:val="851"/>
    <w:next w:val="851"/>
    <w:uiPriority w:val="99"/>
    <w:unhideWhenUsed/>
    <w:pPr>
      <w:spacing w:after="0" w:afterAutospacing="0"/>
    </w:pPr>
  </w:style>
  <w:style w:type="paragraph" w:styleId="851" w:default="1">
    <w:name w:val="Normal"/>
    <w:qFormat/>
  </w:style>
  <w:style w:type="character" w:styleId="852" w:default="1">
    <w:name w:val="Default Paragraph Font"/>
    <w:uiPriority w:val="1"/>
    <w:semiHidden/>
    <w:unhideWhenUsed/>
  </w:style>
  <w:style w:type="table" w:styleId="85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4" w:default="1">
    <w:name w:val="No List"/>
    <w:uiPriority w:val="99"/>
    <w:semiHidden/>
    <w:unhideWhenUsed/>
  </w:style>
  <w:style w:type="paragraph" w:styleId="855" w:customStyle="1">
    <w:name w:val="ConsPlusNormal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paragraph" w:styleId="856" w:customStyle="1">
    <w:name w:val="ConsPlusTitle"/>
    <w:pPr>
      <w:spacing w:after="0" w:line="240" w:lineRule="auto"/>
      <w:widowControl w:val="off"/>
    </w:pPr>
    <w:rPr>
      <w:rFonts w:ascii="Calibri" w:hAnsi="Calibri" w:eastAsia="Times New Roman" w:cs="Calibri"/>
      <w:b/>
      <w:szCs w:val="20"/>
      <w:lang w:eastAsia="ru-RU"/>
    </w:rPr>
  </w:style>
  <w:style w:type="paragraph" w:styleId="857">
    <w:name w:val="Balloon Text"/>
    <w:basedOn w:val="851"/>
    <w:link w:val="858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58" w:customStyle="1">
    <w:name w:val="Текст выноски Знак"/>
    <w:basedOn w:val="852"/>
    <w:link w:val="857"/>
    <w:uiPriority w:val="99"/>
    <w:semiHidden/>
    <w:rPr>
      <w:rFonts w:ascii="Segoe UI" w:hAnsi="Segoe UI" w:cs="Segoe UI"/>
      <w:sz w:val="18"/>
      <w:szCs w:val="18"/>
    </w:rPr>
  </w:style>
  <w:style w:type="paragraph" w:styleId="859">
    <w:name w:val="List Paragraph"/>
    <w:basedOn w:val="851"/>
    <w:uiPriority w:val="34"/>
    <w:qFormat/>
    <w:pPr>
      <w:contextualSpacing/>
      <w:ind w:left="720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60">
    <w:name w:val="Header"/>
    <w:basedOn w:val="851"/>
    <w:link w:val="861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61" w:customStyle="1">
    <w:name w:val="Верхний колонтитул Знак"/>
    <w:basedOn w:val="852"/>
    <w:link w:val="860"/>
    <w:uiPriority w:val="99"/>
  </w:style>
  <w:style w:type="paragraph" w:styleId="862">
    <w:name w:val="Footer"/>
    <w:basedOn w:val="851"/>
    <w:link w:val="863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63" w:customStyle="1">
    <w:name w:val="Нижний колонтитул Знак"/>
    <w:basedOn w:val="852"/>
    <w:link w:val="862"/>
    <w:uiPriority w:val="99"/>
  </w:style>
  <w:style w:type="paragraph" w:styleId="864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21EF3A-28DB-4E9A-925A-9B8BA044F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Р7-Офис/7.4.0.341</Application>
  <Company>PNO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Свиридова Татьяна Николаевна</dc:creator>
  <cp:keywords/>
  <dc:description/>
  <cp:revision>15</cp:revision>
  <dcterms:created xsi:type="dcterms:W3CDTF">2023-08-03T09:41:00Z</dcterms:created>
  <dcterms:modified xsi:type="dcterms:W3CDTF">2024-02-09T01:48:16Z</dcterms:modified>
</cp:coreProperties>
</file>