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65" w:rsidRDefault="00F44B65" w:rsidP="00F44B65">
      <w:pPr>
        <w:ind w:firstLine="0"/>
        <w:jc w:val="right"/>
      </w:pPr>
    </w:p>
    <w:p w:rsidR="00B23025" w:rsidRDefault="00B23025" w:rsidP="002A5064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6260B">
        <w:rPr>
          <w:sz w:val="20"/>
          <w:szCs w:val="20"/>
        </w:rPr>
        <w:t xml:space="preserve">               </w:t>
      </w:r>
      <w:r w:rsidRPr="00B2302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№ </w:t>
      </w:r>
      <w:r w:rsidR="00516650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</w:p>
    <w:p w:rsidR="00C6260B" w:rsidRDefault="00C6260B" w:rsidP="002A5064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025F68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к  постановлени</w:t>
      </w:r>
      <w:r w:rsidR="00025F68">
        <w:rPr>
          <w:sz w:val="20"/>
          <w:szCs w:val="20"/>
        </w:rPr>
        <w:t>ю</w:t>
      </w:r>
    </w:p>
    <w:p w:rsidR="008168FE" w:rsidRDefault="00C6260B" w:rsidP="002A5064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168FE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Губернатора Новосибирской области</w:t>
      </w:r>
    </w:p>
    <w:p w:rsidR="008168FE" w:rsidRDefault="008168FE" w:rsidP="002A5064">
      <w:pPr>
        <w:ind w:firstLine="0"/>
        <w:jc w:val="center"/>
        <w:rPr>
          <w:sz w:val="20"/>
          <w:szCs w:val="20"/>
        </w:rPr>
      </w:pPr>
    </w:p>
    <w:p w:rsidR="002A5064" w:rsidRPr="00B23025" w:rsidRDefault="008168FE" w:rsidP="00025F68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2A5064" w:rsidRDefault="002A5064" w:rsidP="002A5064">
      <w:pPr>
        <w:ind w:firstLine="0"/>
      </w:pPr>
    </w:p>
    <w:p w:rsidR="002A5064" w:rsidRDefault="002A5064" w:rsidP="002A5064">
      <w:pPr>
        <w:ind w:firstLine="0"/>
      </w:pPr>
    </w:p>
    <w:tbl>
      <w:tblPr>
        <w:tblStyle w:val="a3"/>
        <w:tblW w:w="159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684"/>
        <w:gridCol w:w="1159"/>
        <w:gridCol w:w="1061"/>
        <w:gridCol w:w="1103"/>
        <w:gridCol w:w="955"/>
        <w:gridCol w:w="708"/>
        <w:gridCol w:w="851"/>
        <w:gridCol w:w="2410"/>
        <w:gridCol w:w="1134"/>
        <w:gridCol w:w="1134"/>
        <w:gridCol w:w="992"/>
        <w:gridCol w:w="1134"/>
        <w:gridCol w:w="533"/>
      </w:tblGrid>
      <w:tr w:rsidR="00F152C4" w:rsidRPr="00D777CB" w:rsidTr="00B23025">
        <w:trPr>
          <w:trHeight w:val="2056"/>
        </w:trPr>
        <w:tc>
          <w:tcPr>
            <w:tcW w:w="993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rFonts w:cs="Times New Roman"/>
                <w:b/>
                <w:sz w:val="12"/>
                <w:szCs w:val="12"/>
              </w:rPr>
              <w:t>Уникальный номер государственной (муниципальной) услуги, работы</w:t>
            </w:r>
          </w:p>
        </w:tc>
        <w:tc>
          <w:tcPr>
            <w:tcW w:w="1134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Наименование государственной (муниципальной) услуги, работы</w:t>
            </w:r>
          </w:p>
        </w:tc>
        <w:tc>
          <w:tcPr>
            <w:tcW w:w="684" w:type="dxa"/>
            <w:vMerge w:val="restart"/>
          </w:tcPr>
          <w:p w:rsidR="00CD655E" w:rsidRPr="00DB5C7A" w:rsidRDefault="00CD655E" w:rsidP="00BD6F0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Код ОК</w:t>
            </w:r>
            <w:r w:rsidR="00BD6F0E">
              <w:rPr>
                <w:b/>
                <w:sz w:val="12"/>
                <w:szCs w:val="12"/>
              </w:rPr>
              <w:t>ПД 2</w:t>
            </w:r>
          </w:p>
        </w:tc>
        <w:tc>
          <w:tcPr>
            <w:tcW w:w="1159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Вид услуги, работы (государственная или муниципальная)</w:t>
            </w:r>
          </w:p>
        </w:tc>
        <w:tc>
          <w:tcPr>
            <w:tcW w:w="1061" w:type="dxa"/>
            <w:vMerge w:val="restart"/>
          </w:tcPr>
          <w:p w:rsidR="00CD655E" w:rsidRPr="00F152C4" w:rsidRDefault="00CD655E" w:rsidP="002A5064">
            <w:pPr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F152C4">
              <w:rPr>
                <w:sz w:val="12"/>
                <w:szCs w:val="12"/>
              </w:rPr>
              <w:t>Тип (типы) государственных (муниципальных) учреждений (бюджетное, автономное, казенное), которые вправе оказывать государственную (муниципальную) услугу (выполнять работу)</w:t>
            </w:r>
            <w:proofErr w:type="gramEnd"/>
          </w:p>
        </w:tc>
        <w:tc>
          <w:tcPr>
            <w:tcW w:w="1103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Содержание государственной (муниципальной) услуги, работы</w:t>
            </w:r>
          </w:p>
        </w:tc>
        <w:tc>
          <w:tcPr>
            <w:tcW w:w="955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Условия (формы) оказания государственной (муниципальной) услуги, выполнения работы</w:t>
            </w:r>
          </w:p>
        </w:tc>
        <w:tc>
          <w:tcPr>
            <w:tcW w:w="708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Признак отнесения к услуге или работе</w:t>
            </w:r>
          </w:p>
        </w:tc>
        <w:tc>
          <w:tcPr>
            <w:tcW w:w="851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Указание на бесплатность или платность государственной (муниципальной) услуги, работы</w:t>
            </w:r>
          </w:p>
        </w:tc>
        <w:tc>
          <w:tcPr>
            <w:tcW w:w="2410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 xml:space="preserve">Реквизиты </w:t>
            </w:r>
          </w:p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proofErr w:type="gramStart"/>
            <w:r w:rsidRPr="00DB5C7A">
              <w:rPr>
                <w:b/>
                <w:sz w:val="12"/>
                <w:szCs w:val="12"/>
              </w:rPr>
              <w:t>(с указанием статей, частей, пунктов, подпунктов, абзацев) правовых актов, являющихся основанием для формирования (изменения) Регионального перечня</w:t>
            </w:r>
            <w:proofErr w:type="gramEnd"/>
          </w:p>
        </w:tc>
        <w:tc>
          <w:tcPr>
            <w:tcW w:w="1134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Категории потребителей государственной (муниципальной) услуги, работы</w:t>
            </w:r>
          </w:p>
        </w:tc>
        <w:tc>
          <w:tcPr>
            <w:tcW w:w="2126" w:type="dxa"/>
            <w:gridSpan w:val="2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Наименования показателей, характеризующих качество</w:t>
            </w:r>
          </w:p>
          <w:p w:rsidR="00CD655E" w:rsidRPr="00DB5C7A" w:rsidRDefault="00CD655E" w:rsidP="00D777C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 xml:space="preserve"> (в случае их наличия) и объем государственной (муниципальной) услуги, работы и единицы их измерения</w:t>
            </w:r>
          </w:p>
        </w:tc>
        <w:tc>
          <w:tcPr>
            <w:tcW w:w="1134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Наименование публично-правого образования, к расходным обязательствам которого относится оказание государственной (муниципальной) услуги или выполнение работы</w:t>
            </w:r>
          </w:p>
        </w:tc>
        <w:tc>
          <w:tcPr>
            <w:tcW w:w="533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proofErr w:type="gramStart"/>
            <w:r w:rsidRPr="00DB5C7A">
              <w:rPr>
                <w:b/>
                <w:sz w:val="12"/>
                <w:szCs w:val="12"/>
              </w:rPr>
              <w:t>Дата вступления в силу (дата признания утратившей силу (при наличии) информации о государственной (муниципальной) услуге или работе</w:t>
            </w:r>
            <w:proofErr w:type="gramEnd"/>
          </w:p>
        </w:tc>
      </w:tr>
      <w:tr w:rsidR="00F152C4" w:rsidTr="00B23025">
        <w:tc>
          <w:tcPr>
            <w:tcW w:w="993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684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59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061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03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955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2410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CD655E" w:rsidRPr="00DB5C7A" w:rsidRDefault="00CD655E" w:rsidP="002A5064">
            <w:pPr>
              <w:ind w:firstLine="0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Объем</w:t>
            </w:r>
          </w:p>
        </w:tc>
        <w:tc>
          <w:tcPr>
            <w:tcW w:w="992" w:type="dxa"/>
          </w:tcPr>
          <w:p w:rsidR="00CD655E" w:rsidRPr="00DB5C7A" w:rsidRDefault="00CD655E" w:rsidP="002A5064">
            <w:pPr>
              <w:ind w:firstLine="0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Качество</w:t>
            </w:r>
          </w:p>
        </w:tc>
        <w:tc>
          <w:tcPr>
            <w:tcW w:w="1134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533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</w:tr>
      <w:tr w:rsidR="00F152C4" w:rsidTr="00B23025">
        <w:tc>
          <w:tcPr>
            <w:tcW w:w="993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</w:t>
            </w:r>
          </w:p>
        </w:tc>
        <w:tc>
          <w:tcPr>
            <w:tcW w:w="113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2</w:t>
            </w:r>
          </w:p>
        </w:tc>
        <w:tc>
          <w:tcPr>
            <w:tcW w:w="68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3</w:t>
            </w:r>
          </w:p>
        </w:tc>
        <w:tc>
          <w:tcPr>
            <w:tcW w:w="1159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4</w:t>
            </w:r>
          </w:p>
        </w:tc>
        <w:tc>
          <w:tcPr>
            <w:tcW w:w="1061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5</w:t>
            </w:r>
          </w:p>
        </w:tc>
        <w:tc>
          <w:tcPr>
            <w:tcW w:w="1103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6</w:t>
            </w:r>
          </w:p>
        </w:tc>
        <w:tc>
          <w:tcPr>
            <w:tcW w:w="955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7</w:t>
            </w:r>
          </w:p>
        </w:tc>
        <w:tc>
          <w:tcPr>
            <w:tcW w:w="708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8</w:t>
            </w:r>
          </w:p>
        </w:tc>
        <w:tc>
          <w:tcPr>
            <w:tcW w:w="851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9</w:t>
            </w:r>
          </w:p>
        </w:tc>
        <w:tc>
          <w:tcPr>
            <w:tcW w:w="2410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10</w:t>
            </w:r>
          </w:p>
        </w:tc>
        <w:tc>
          <w:tcPr>
            <w:tcW w:w="113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11</w:t>
            </w:r>
          </w:p>
        </w:tc>
        <w:tc>
          <w:tcPr>
            <w:tcW w:w="113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12</w:t>
            </w:r>
          </w:p>
        </w:tc>
        <w:tc>
          <w:tcPr>
            <w:tcW w:w="992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13</w:t>
            </w:r>
          </w:p>
        </w:tc>
        <w:tc>
          <w:tcPr>
            <w:tcW w:w="113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14</w:t>
            </w:r>
          </w:p>
        </w:tc>
        <w:tc>
          <w:tcPr>
            <w:tcW w:w="533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15</w:t>
            </w:r>
          </w:p>
        </w:tc>
      </w:tr>
      <w:tr w:rsidR="001778F7" w:rsidTr="007100F6">
        <w:tc>
          <w:tcPr>
            <w:tcW w:w="15985" w:type="dxa"/>
            <w:gridSpan w:val="15"/>
          </w:tcPr>
          <w:p w:rsidR="001778F7" w:rsidRPr="001778F7" w:rsidRDefault="001778F7" w:rsidP="007111FD">
            <w:pPr>
              <w:ind w:left="-57" w:right="-57"/>
              <w:jc w:val="center"/>
              <w:rPr>
                <w:rFonts w:eastAsia="Times New Roman"/>
                <w:bCs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bCs/>
                <w:spacing w:val="-2"/>
                <w:sz w:val="12"/>
                <w:szCs w:val="12"/>
                <w:lang w:eastAsia="ru-RU"/>
              </w:rPr>
              <w:t>09. Геодезия и картография</w:t>
            </w:r>
          </w:p>
        </w:tc>
      </w:tr>
      <w:tr w:rsidR="001778F7" w:rsidTr="007100F6">
        <w:tc>
          <w:tcPr>
            <w:tcW w:w="15985" w:type="dxa"/>
            <w:gridSpan w:val="15"/>
          </w:tcPr>
          <w:p w:rsidR="001778F7" w:rsidRPr="001778F7" w:rsidRDefault="001778F7" w:rsidP="007111FD">
            <w:pPr>
              <w:ind w:left="-57" w:right="-57"/>
              <w:jc w:val="center"/>
              <w:rPr>
                <w:rFonts w:eastAsia="Times New Roman"/>
                <w:bCs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bCs/>
                <w:spacing w:val="-2"/>
                <w:sz w:val="12"/>
                <w:szCs w:val="12"/>
                <w:lang w:eastAsia="ru-RU"/>
              </w:rPr>
              <w:t>9.2. Муниципальные услуги, работы</w:t>
            </w:r>
          </w:p>
        </w:tc>
      </w:tr>
      <w:tr w:rsidR="00A12A22" w:rsidRPr="00873F25" w:rsidTr="00B23025">
        <w:tc>
          <w:tcPr>
            <w:tcW w:w="993" w:type="dxa"/>
          </w:tcPr>
          <w:p w:rsidR="00A12A22" w:rsidRDefault="00A12A22" w:rsidP="001778F7">
            <w:pPr>
              <w:ind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09.2.711235.0.</w:t>
            </w:r>
          </w:p>
          <w:p w:rsidR="00A12A22" w:rsidRPr="001778F7" w:rsidRDefault="00A12A22" w:rsidP="001778F7">
            <w:pPr>
              <w:ind w:left="-57" w:right="-57" w:firstLine="0"/>
              <w:jc w:val="center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00001</w:t>
            </w:r>
          </w:p>
        </w:tc>
        <w:tc>
          <w:tcPr>
            <w:tcW w:w="1134" w:type="dxa"/>
          </w:tcPr>
          <w:p w:rsidR="00A12A22" w:rsidRPr="001778F7" w:rsidRDefault="00A12A22" w:rsidP="001778F7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Style w:val="Bodytext2"/>
                <w:rFonts w:eastAsiaTheme="minorHAnsi"/>
                <w:sz w:val="12"/>
                <w:szCs w:val="12"/>
              </w:rPr>
              <w:t>Формирование и ведение базы данных топографо-геодезической и проектно-планировочной информации мэрии города Новосибирска (дежурный план</w:t>
            </w: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684" w:type="dxa"/>
          </w:tcPr>
          <w:p w:rsidR="00A12A22" w:rsidRPr="00E57A81" w:rsidRDefault="00A12A22" w:rsidP="001778F7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71.12.35.120</w:t>
            </w:r>
          </w:p>
        </w:tc>
        <w:tc>
          <w:tcPr>
            <w:tcW w:w="1159" w:type="dxa"/>
          </w:tcPr>
          <w:p w:rsidR="00A12A22" w:rsidRPr="00E57A81" w:rsidRDefault="00A12A22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муниципальная</w:t>
            </w:r>
          </w:p>
        </w:tc>
        <w:tc>
          <w:tcPr>
            <w:tcW w:w="1061" w:type="dxa"/>
          </w:tcPr>
          <w:p w:rsidR="00A12A22" w:rsidRPr="00E57A81" w:rsidRDefault="00A12A22" w:rsidP="00434891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бюджетное</w:t>
            </w:r>
            <w:r w:rsidRPr="00E57A81">
              <w:rPr>
                <w:rFonts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103" w:type="dxa"/>
          </w:tcPr>
          <w:p w:rsidR="00A12A22" w:rsidRPr="00FE4C0F" w:rsidRDefault="00A12A22" w:rsidP="00FE4C0F">
            <w:pPr>
              <w:ind w:firstLine="0"/>
              <w:jc w:val="left"/>
              <w:rPr>
                <w:sz w:val="12"/>
                <w:szCs w:val="12"/>
              </w:rPr>
            </w:pPr>
            <w:r w:rsidRPr="00FE4C0F">
              <w:rPr>
                <w:sz w:val="12"/>
                <w:szCs w:val="12"/>
              </w:rPr>
              <w:t xml:space="preserve">внесение в базу данных </w:t>
            </w:r>
            <w:proofErr w:type="gramStart"/>
            <w:r w:rsidRPr="00FE4C0F">
              <w:rPr>
                <w:sz w:val="12"/>
                <w:szCs w:val="12"/>
              </w:rPr>
              <w:t>топографо-геодезической</w:t>
            </w:r>
            <w:proofErr w:type="gramEnd"/>
            <w:r w:rsidRPr="00FE4C0F">
              <w:rPr>
                <w:sz w:val="12"/>
                <w:szCs w:val="12"/>
              </w:rPr>
              <w:t xml:space="preserve"> и </w:t>
            </w:r>
          </w:p>
          <w:p w:rsidR="00A12A22" w:rsidRPr="00FE4C0F" w:rsidRDefault="00A12A22" w:rsidP="00FE4C0F">
            <w:pPr>
              <w:ind w:firstLine="0"/>
              <w:jc w:val="left"/>
              <w:rPr>
                <w:sz w:val="12"/>
                <w:szCs w:val="12"/>
              </w:rPr>
            </w:pPr>
            <w:r w:rsidRPr="00FE4C0F">
              <w:rPr>
                <w:sz w:val="12"/>
                <w:szCs w:val="12"/>
              </w:rPr>
              <w:t xml:space="preserve">проектно-планировочной </w:t>
            </w:r>
          </w:p>
          <w:p w:rsidR="00A12A22" w:rsidRPr="00FE4C0F" w:rsidRDefault="00A12A22" w:rsidP="00FE4C0F">
            <w:pPr>
              <w:ind w:firstLine="0"/>
              <w:jc w:val="left"/>
              <w:rPr>
                <w:sz w:val="12"/>
                <w:szCs w:val="12"/>
              </w:rPr>
            </w:pPr>
            <w:r w:rsidRPr="00FE4C0F">
              <w:rPr>
                <w:sz w:val="12"/>
                <w:szCs w:val="12"/>
              </w:rPr>
              <w:t xml:space="preserve">информации </w:t>
            </w:r>
            <w:proofErr w:type="gramStart"/>
            <w:r w:rsidRPr="00FE4C0F">
              <w:rPr>
                <w:sz w:val="12"/>
                <w:szCs w:val="12"/>
              </w:rPr>
              <w:t>по</w:t>
            </w:r>
            <w:proofErr w:type="gramEnd"/>
            <w:r w:rsidRPr="00FE4C0F">
              <w:rPr>
                <w:sz w:val="12"/>
                <w:szCs w:val="12"/>
              </w:rPr>
              <w:t xml:space="preserve"> </w:t>
            </w:r>
          </w:p>
          <w:p w:rsidR="00A12A22" w:rsidRPr="00FE4C0F" w:rsidRDefault="00A12A22" w:rsidP="00FE4C0F">
            <w:pPr>
              <w:ind w:firstLine="0"/>
              <w:jc w:val="left"/>
              <w:rPr>
                <w:sz w:val="12"/>
                <w:szCs w:val="12"/>
              </w:rPr>
            </w:pPr>
            <w:r w:rsidRPr="00FE4C0F">
              <w:rPr>
                <w:sz w:val="12"/>
                <w:szCs w:val="12"/>
              </w:rPr>
              <w:t>подземным коммуникациям и сооружениям</w:t>
            </w:r>
          </w:p>
        </w:tc>
        <w:tc>
          <w:tcPr>
            <w:tcW w:w="955" w:type="dxa"/>
          </w:tcPr>
          <w:p w:rsidR="00A12A22" w:rsidRPr="00FE4C0F" w:rsidRDefault="00A12A22" w:rsidP="00AA718C">
            <w:pPr>
              <w:ind w:firstLine="0"/>
              <w:jc w:val="center"/>
              <w:rPr>
                <w:sz w:val="12"/>
                <w:szCs w:val="12"/>
              </w:rPr>
            </w:pPr>
            <w:r w:rsidRPr="00FE4C0F">
              <w:rPr>
                <w:sz w:val="12"/>
                <w:szCs w:val="12"/>
              </w:rPr>
              <w:t>в электронном виде на основании поступивших согласованных проектов подземных коммуникаций и сооружений</w:t>
            </w:r>
          </w:p>
        </w:tc>
        <w:tc>
          <w:tcPr>
            <w:tcW w:w="708" w:type="dxa"/>
          </w:tcPr>
          <w:p w:rsidR="00A12A22" w:rsidRPr="00E57A81" w:rsidRDefault="00A12A22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A12A22" w:rsidRPr="00E57A81" w:rsidRDefault="00A12A22" w:rsidP="00C7673C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бес</w:t>
            </w:r>
            <w:r w:rsidRPr="00E57A81">
              <w:rPr>
                <w:rFonts w:cs="Times New Roman"/>
                <w:sz w:val="12"/>
                <w:szCs w:val="12"/>
              </w:rPr>
              <w:t>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A12A22" w:rsidRPr="00FE4C0F" w:rsidRDefault="00A12A22" w:rsidP="00FE4C0F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1. Пункт 2 постановления мэрии города Новосибирска от 17.02.2012 № 1479 «О создании муниципального бюджетного учреждения города Новосибирска «</w:t>
            </w:r>
            <w:proofErr w:type="spellStart"/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Геофонд</w:t>
            </w:r>
            <w:proofErr w:type="spellEnd"/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» путем изменения типа и наименования муниципального автономного учреждения города Новосибирска «Информационное обеспечение градостроительства»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A12A22" w:rsidRPr="00FE4C0F" w:rsidRDefault="00A12A22" w:rsidP="00FE4C0F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2. Пункт 3.33 Положения, утвержденного решением Совета депутатов от 09.10.2007 № 705 «О департаменте строительства и архитектуры мэрии города Новосибирска»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A12A22" w:rsidRPr="00FE4C0F" w:rsidRDefault="00A12A22" w:rsidP="00FE4C0F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3. Пункт 4.4. Положения, утвержденного решением Совета депутатов города Новосибирска от 29.04.2015 № 1336 (ред. от 25.04.2017) «О </w:t>
            </w:r>
            <w:proofErr w:type="gramStart"/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Положении</w:t>
            </w:r>
            <w:proofErr w:type="gramEnd"/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 о нестационарных объектах на территории города Новосибирска и признании утратившими силу отдельных решений Совета депутатов города Новосибирска»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A12A22" w:rsidRPr="00FE4C0F" w:rsidRDefault="00A12A22" w:rsidP="00FE4C0F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4. Пункт 4.5.4 Местных нормативов, утвержденных решением Совета депутатов города Новосибирска от 02.12.2015 № 96 «О Местных нормативах градостроительного проектирования города Новосибирска»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A12A22" w:rsidRPr="00FE4C0F" w:rsidRDefault="00A12A22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lastRenderedPageBreak/>
              <w:t>5. Пункт 4.17 Порядка, утвержденного постановлением мэрии города Новосибирска от 11.04.2012 № 3500 (ред. от 29.05.2017) «О Порядке проведения земляных работ на территории города Новосибирска»</w:t>
            </w:r>
          </w:p>
        </w:tc>
        <w:tc>
          <w:tcPr>
            <w:tcW w:w="1134" w:type="dxa"/>
          </w:tcPr>
          <w:p w:rsidR="00A12A22" w:rsidRPr="00E57A81" w:rsidRDefault="00A12A22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A12A22" w:rsidRPr="00E57A81" w:rsidRDefault="00A12A22" w:rsidP="00FE4C0F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органы местного самоуправления</w:t>
            </w:r>
          </w:p>
        </w:tc>
        <w:tc>
          <w:tcPr>
            <w:tcW w:w="1134" w:type="dxa"/>
          </w:tcPr>
          <w:p w:rsidR="00A12A22" w:rsidRPr="00A12A22" w:rsidRDefault="00A12A22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количество зарегистрированных и внесенных в Сводный план проектов подземных коммуникаций и сооружений инженерно-топографических планов застроенных территорий  </w:t>
            </w:r>
          </w:p>
          <w:p w:rsidR="00A12A22" w:rsidRPr="00A12A22" w:rsidRDefault="00A12A22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(единица) </w:t>
            </w:r>
          </w:p>
        </w:tc>
        <w:tc>
          <w:tcPr>
            <w:tcW w:w="992" w:type="dxa"/>
          </w:tcPr>
          <w:p w:rsidR="00A12A22" w:rsidRPr="00A12A22" w:rsidRDefault="00A12A22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соответствие зарегистрированных и внесенных в Сводный план подземных коммуникаций и сооружений инженерно-топографических планов застроенных территорий действующим правилам и нормам по ведению территориальных картографо-геодезических фондов </w:t>
            </w:r>
          </w:p>
          <w:p w:rsidR="00A12A22" w:rsidRPr="00A12A22" w:rsidRDefault="00A12A22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( процент)</w:t>
            </w:r>
          </w:p>
        </w:tc>
        <w:tc>
          <w:tcPr>
            <w:tcW w:w="1134" w:type="dxa"/>
          </w:tcPr>
          <w:p w:rsidR="00A12A22" w:rsidRPr="00E57A81" w:rsidRDefault="00A12A22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г. Новосибирск</w:t>
            </w:r>
          </w:p>
        </w:tc>
        <w:tc>
          <w:tcPr>
            <w:tcW w:w="533" w:type="dxa"/>
          </w:tcPr>
          <w:p w:rsidR="00A12A22" w:rsidRPr="00E57A81" w:rsidRDefault="00A12A22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2A46B5" w:rsidRPr="00873F25" w:rsidTr="00B23025">
        <w:trPr>
          <w:trHeight w:val="1515"/>
        </w:trPr>
        <w:tc>
          <w:tcPr>
            <w:tcW w:w="993" w:type="dxa"/>
          </w:tcPr>
          <w:p w:rsidR="002A46B5" w:rsidRDefault="002A46B5" w:rsidP="007111FD">
            <w:pPr>
              <w:ind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lastRenderedPageBreak/>
              <w:t>09.2.711235.0.</w:t>
            </w:r>
          </w:p>
          <w:p w:rsidR="002A46B5" w:rsidRPr="001778F7" w:rsidRDefault="002A46B5" w:rsidP="001778F7">
            <w:pPr>
              <w:ind w:left="-57" w:right="-57" w:firstLine="0"/>
              <w:jc w:val="center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0000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4" w:type="dxa"/>
          </w:tcPr>
          <w:p w:rsidR="002A46B5" w:rsidRPr="001778F7" w:rsidRDefault="002A46B5" w:rsidP="00C04908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Style w:val="Bodytext2"/>
                <w:rFonts w:eastAsiaTheme="minorHAnsi"/>
                <w:sz w:val="12"/>
                <w:szCs w:val="12"/>
              </w:rPr>
              <w:t>Формирование и ведение базы данных топографо-геодезической и проектно-планировочной информации мэрии города Новосибирска (дежурный план</w:t>
            </w: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68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71.12.35.120</w:t>
            </w:r>
          </w:p>
        </w:tc>
        <w:tc>
          <w:tcPr>
            <w:tcW w:w="1159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муниципальная</w:t>
            </w:r>
          </w:p>
        </w:tc>
        <w:tc>
          <w:tcPr>
            <w:tcW w:w="1061" w:type="dxa"/>
          </w:tcPr>
          <w:p w:rsidR="002A46B5" w:rsidRPr="007C4381" w:rsidRDefault="002A46B5" w:rsidP="00885117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7C438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2A46B5" w:rsidRPr="00FE4C0F" w:rsidRDefault="002A46B5" w:rsidP="00FE4C0F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FE4C0F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внесение в базу данных топографо-геодезической и проектно-планировочной информации пространственного положения объектов адресации с указанием адреса </w:t>
            </w:r>
          </w:p>
        </w:tc>
        <w:tc>
          <w:tcPr>
            <w:tcW w:w="955" w:type="dxa"/>
          </w:tcPr>
          <w:p w:rsidR="002A46B5" w:rsidRPr="00FE4C0F" w:rsidRDefault="002A46B5" w:rsidP="00AA718C">
            <w:pPr>
              <w:ind w:firstLine="0"/>
              <w:jc w:val="center"/>
              <w:rPr>
                <w:sz w:val="12"/>
                <w:szCs w:val="12"/>
              </w:rPr>
            </w:pPr>
            <w:r w:rsidRPr="00FE4C0F">
              <w:rPr>
                <w:sz w:val="12"/>
                <w:szCs w:val="12"/>
              </w:rPr>
              <w:t xml:space="preserve">в электронном виде на основании поступивших приказов </w:t>
            </w:r>
            <w:proofErr w:type="gramStart"/>
            <w:r w:rsidRPr="00FE4C0F">
              <w:rPr>
                <w:sz w:val="12"/>
                <w:szCs w:val="12"/>
              </w:rPr>
              <w:t>на</w:t>
            </w:r>
            <w:proofErr w:type="gramEnd"/>
          </w:p>
          <w:p w:rsidR="002A46B5" w:rsidRPr="00FE4C0F" w:rsidRDefault="002A46B5" w:rsidP="00AA718C">
            <w:pPr>
              <w:ind w:firstLine="0"/>
              <w:jc w:val="center"/>
              <w:rPr>
                <w:sz w:val="12"/>
                <w:szCs w:val="12"/>
              </w:rPr>
            </w:pPr>
            <w:r w:rsidRPr="00FE4C0F">
              <w:rPr>
                <w:sz w:val="12"/>
                <w:szCs w:val="12"/>
              </w:rPr>
              <w:t>объекты недвижимости и заявок для назначения адреса земельным участкам</w:t>
            </w:r>
          </w:p>
        </w:tc>
        <w:tc>
          <w:tcPr>
            <w:tcW w:w="708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2A46B5" w:rsidRPr="00873F25" w:rsidRDefault="002A46B5" w:rsidP="00885117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бес</w:t>
            </w:r>
            <w:r w:rsidRPr="00E57A81">
              <w:rPr>
                <w:rFonts w:cs="Times New Roman"/>
                <w:sz w:val="12"/>
                <w:szCs w:val="12"/>
              </w:rPr>
              <w:t>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2A46B5" w:rsidRPr="00A12A22" w:rsidRDefault="002A46B5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1. Пункт 2 постановления мэрии города Новосибирска от 17.02.2012 № 1479 «О создании муниципального бюджетного учреждения города Новосибирска «</w:t>
            </w:r>
            <w:proofErr w:type="spellStart"/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Геофонд</w:t>
            </w:r>
            <w:proofErr w:type="spellEnd"/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» путем изменения типа и наименования муниципального автономного учреждения города Новосибирска «Информационное обеспечение градостроительства»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2A46B5" w:rsidRPr="00A12A22" w:rsidRDefault="002A46B5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2. Пункт 3.11 Положения, утвержденного решением Совета депутатов от 09.10.2007 № 705 «О департаменте строительства и архитектуры мэрии города Новосибирска»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2A46B5" w:rsidRPr="00A12A22" w:rsidRDefault="002A46B5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3. Раздел 4 Положения, утвержденного постановлением мэрии города Новосибирска от 21.07.2010 № 235 «Об утверждении Положения об адресации объектов адресации на территории города Новосибирска»</w:t>
            </w:r>
          </w:p>
        </w:tc>
        <w:tc>
          <w:tcPr>
            <w:tcW w:w="1134" w:type="dxa"/>
          </w:tcPr>
          <w:p w:rsidR="002A46B5" w:rsidRPr="00E57A81" w:rsidRDefault="002A46B5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2A46B5" w:rsidRPr="00E57A81" w:rsidRDefault="002A46B5" w:rsidP="00FE4C0F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</w:t>
            </w:r>
          </w:p>
        </w:tc>
        <w:tc>
          <w:tcPr>
            <w:tcW w:w="1134" w:type="dxa"/>
          </w:tcPr>
          <w:p w:rsidR="002A46B5" w:rsidRPr="00A12A22" w:rsidRDefault="002A46B5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количество внесенных в адресный план города Новосибирска объектов недвижимости и земельных участков</w:t>
            </w:r>
          </w:p>
          <w:p w:rsidR="002A46B5" w:rsidRPr="00A12A22" w:rsidRDefault="002A46B5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(единица)</w:t>
            </w:r>
          </w:p>
        </w:tc>
        <w:tc>
          <w:tcPr>
            <w:tcW w:w="992" w:type="dxa"/>
          </w:tcPr>
          <w:p w:rsidR="002A46B5" w:rsidRDefault="002A46B5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соответствие внесенных в адресный план города Новосибирска объектов недвижимости и земельных участков проектам приказов и заявкам </w:t>
            </w:r>
          </w:p>
          <w:p w:rsidR="002A46B5" w:rsidRPr="00A12A22" w:rsidRDefault="002A46B5" w:rsidP="00A12A22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( процент)</w:t>
            </w:r>
          </w:p>
        </w:tc>
        <w:tc>
          <w:tcPr>
            <w:tcW w:w="113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г. Новосибирск</w:t>
            </w:r>
          </w:p>
        </w:tc>
        <w:tc>
          <w:tcPr>
            <w:tcW w:w="533" w:type="dxa"/>
          </w:tcPr>
          <w:p w:rsidR="002A46B5" w:rsidRPr="00873F25" w:rsidRDefault="002A46B5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2A46B5" w:rsidRPr="00873F25" w:rsidTr="00B23025">
        <w:tc>
          <w:tcPr>
            <w:tcW w:w="993" w:type="dxa"/>
          </w:tcPr>
          <w:p w:rsidR="002A46B5" w:rsidRDefault="002A46B5" w:rsidP="007111FD">
            <w:pPr>
              <w:ind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09.2.711235.0.</w:t>
            </w:r>
          </w:p>
          <w:p w:rsidR="002A46B5" w:rsidRPr="001778F7" w:rsidRDefault="002A46B5" w:rsidP="001778F7">
            <w:pPr>
              <w:ind w:left="-57" w:right="-57" w:firstLine="0"/>
              <w:jc w:val="center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0000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</w:tcPr>
          <w:p w:rsidR="002A46B5" w:rsidRPr="00AA718C" w:rsidRDefault="002A46B5" w:rsidP="00C04908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</w:rPr>
              <w:t xml:space="preserve">Выдача материалов из базы данных топографо-геодезической и проектно-планировочной информации </w:t>
            </w:r>
          </w:p>
        </w:tc>
        <w:tc>
          <w:tcPr>
            <w:tcW w:w="68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71.12.35.120</w:t>
            </w:r>
          </w:p>
        </w:tc>
        <w:tc>
          <w:tcPr>
            <w:tcW w:w="1159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муниципальная</w:t>
            </w:r>
          </w:p>
        </w:tc>
        <w:tc>
          <w:tcPr>
            <w:tcW w:w="1061" w:type="dxa"/>
          </w:tcPr>
          <w:p w:rsidR="002A46B5" w:rsidRPr="001914C2" w:rsidRDefault="002A46B5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2A46B5" w:rsidRPr="00A12A22" w:rsidRDefault="002A46B5" w:rsidP="00AA718C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изготовление копий инженерно-топографического плана </w:t>
            </w:r>
          </w:p>
        </w:tc>
        <w:tc>
          <w:tcPr>
            <w:tcW w:w="955" w:type="dxa"/>
          </w:tcPr>
          <w:p w:rsidR="002A46B5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  <w:r>
              <w:rPr>
                <w:rFonts w:cs="Times New Roman"/>
                <w:sz w:val="12"/>
                <w:szCs w:val="12"/>
              </w:rPr>
              <w:t xml:space="preserve"> по запросу</w:t>
            </w:r>
          </w:p>
          <w:p w:rsidR="002A46B5" w:rsidRPr="0058230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2A46B5" w:rsidRPr="001914C2" w:rsidRDefault="002A46B5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2A46B5" w:rsidRPr="00AA718C" w:rsidRDefault="002A46B5" w:rsidP="00AA718C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1. Пункт 2 постановления мэрии города Новосибирска от 17.02.2012 № 1479 «О создании муниципального бюджетного учреждения города Новосибирска «</w:t>
            </w:r>
            <w:proofErr w:type="spellStart"/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Геофонд</w:t>
            </w:r>
            <w:proofErr w:type="spellEnd"/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» путем изменения типа и наименования муниципального автономного учреждения города Новосибирска «Информационное обеспечение градостроительства»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2A46B5" w:rsidRPr="00AA718C" w:rsidRDefault="002A46B5" w:rsidP="00AA718C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2. Пункт 3.24 Положения, утвержденного решением Совета депутатов от 09.10.2007 № 705 «О департаменте строительства и архитектуры мэрии города Новосибирска»</w:t>
            </w:r>
          </w:p>
        </w:tc>
        <w:tc>
          <w:tcPr>
            <w:tcW w:w="113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</w:t>
            </w:r>
          </w:p>
        </w:tc>
        <w:tc>
          <w:tcPr>
            <w:tcW w:w="1134" w:type="dxa"/>
          </w:tcPr>
          <w:p w:rsidR="002A46B5" w:rsidRPr="00AA718C" w:rsidRDefault="002A46B5" w:rsidP="00AA718C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количество документов </w:t>
            </w:r>
          </w:p>
          <w:p w:rsidR="002A46B5" w:rsidRPr="00AA718C" w:rsidRDefault="002A46B5" w:rsidP="00AA718C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 (штука) </w:t>
            </w:r>
          </w:p>
        </w:tc>
        <w:tc>
          <w:tcPr>
            <w:tcW w:w="992" w:type="dxa"/>
          </w:tcPr>
          <w:p w:rsidR="002A46B5" w:rsidRPr="00AA718C" w:rsidRDefault="002A46B5" w:rsidP="00AA718C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срок подготовки документов  (сутки) </w:t>
            </w:r>
          </w:p>
        </w:tc>
        <w:tc>
          <w:tcPr>
            <w:tcW w:w="113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г. Новосибирск</w:t>
            </w:r>
          </w:p>
        </w:tc>
        <w:tc>
          <w:tcPr>
            <w:tcW w:w="533" w:type="dxa"/>
          </w:tcPr>
          <w:p w:rsidR="002A46B5" w:rsidRPr="00873F25" w:rsidRDefault="002A46B5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2A46B5" w:rsidRPr="001914C2" w:rsidTr="00B23025">
        <w:trPr>
          <w:trHeight w:val="1688"/>
        </w:trPr>
        <w:tc>
          <w:tcPr>
            <w:tcW w:w="993" w:type="dxa"/>
          </w:tcPr>
          <w:p w:rsidR="002A46B5" w:rsidRDefault="002A46B5" w:rsidP="007111FD">
            <w:pPr>
              <w:ind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09.2.711235.0.</w:t>
            </w:r>
          </w:p>
          <w:p w:rsidR="002A46B5" w:rsidRPr="001778F7" w:rsidRDefault="002A46B5" w:rsidP="001778F7">
            <w:pPr>
              <w:ind w:left="-57" w:right="-57" w:firstLine="0"/>
              <w:jc w:val="center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0000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</w:tcPr>
          <w:p w:rsidR="002A46B5" w:rsidRPr="00AA718C" w:rsidRDefault="002A46B5" w:rsidP="00C04908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</w:rPr>
              <w:t xml:space="preserve">Выдача материалов из базы данных топографо-геодезической и проектно-планировочной информации </w:t>
            </w:r>
          </w:p>
        </w:tc>
        <w:tc>
          <w:tcPr>
            <w:tcW w:w="68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71.12.35.120</w:t>
            </w:r>
          </w:p>
        </w:tc>
        <w:tc>
          <w:tcPr>
            <w:tcW w:w="1159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муниципальная</w:t>
            </w:r>
          </w:p>
        </w:tc>
        <w:tc>
          <w:tcPr>
            <w:tcW w:w="1061" w:type="dxa"/>
          </w:tcPr>
          <w:p w:rsidR="002A46B5" w:rsidRPr="00582301" w:rsidRDefault="002A46B5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2A46B5" w:rsidRPr="00A12A22" w:rsidRDefault="002A46B5" w:rsidP="00AA718C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12A22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изготовление копий инженерно-топографического плана </w:t>
            </w:r>
          </w:p>
        </w:tc>
        <w:tc>
          <w:tcPr>
            <w:tcW w:w="955" w:type="dxa"/>
          </w:tcPr>
          <w:p w:rsidR="002A46B5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>в электронном виде</w:t>
            </w:r>
            <w:r>
              <w:rPr>
                <w:rFonts w:cs="Times New Roman"/>
                <w:sz w:val="12"/>
                <w:szCs w:val="12"/>
              </w:rPr>
              <w:t xml:space="preserve"> по запросу</w:t>
            </w:r>
          </w:p>
          <w:p w:rsidR="002A46B5" w:rsidRPr="001914C2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2A46B5" w:rsidRPr="00582301" w:rsidRDefault="002A46B5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2A46B5" w:rsidRDefault="002A46B5" w:rsidP="00AA718C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1. Пункт 2 постановления мэрии города Новосибирска от 17.02.2012 № 1479 «О создании муниципального бюджетного учреждения города Новосибирска «</w:t>
            </w:r>
            <w:proofErr w:type="spellStart"/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Геофонд</w:t>
            </w:r>
            <w:proofErr w:type="spellEnd"/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» путем изменения типа и наименования муниципального автономного учреждения города Новосибирска «Информационное обеспечение градостроительства»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2A46B5" w:rsidRPr="00AA718C" w:rsidRDefault="002A46B5" w:rsidP="00AA718C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2. Пункты 3.19, 3.24 Положения, утвержденного решением Совета депутатов от 09.10.2007 № 705 «О департаменте строительства и архитектуры мэрии города Новосибирска»</w:t>
            </w:r>
          </w:p>
        </w:tc>
        <w:tc>
          <w:tcPr>
            <w:tcW w:w="113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</w:t>
            </w:r>
          </w:p>
        </w:tc>
        <w:tc>
          <w:tcPr>
            <w:tcW w:w="1134" w:type="dxa"/>
          </w:tcPr>
          <w:p w:rsidR="002A46B5" w:rsidRPr="00AA718C" w:rsidRDefault="002A46B5" w:rsidP="007111FD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количество документов </w:t>
            </w:r>
          </w:p>
          <w:p w:rsidR="002A46B5" w:rsidRPr="00AA718C" w:rsidRDefault="002A46B5" w:rsidP="007111FD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 (штука) </w:t>
            </w:r>
          </w:p>
        </w:tc>
        <w:tc>
          <w:tcPr>
            <w:tcW w:w="992" w:type="dxa"/>
          </w:tcPr>
          <w:p w:rsidR="002A46B5" w:rsidRPr="00AA718C" w:rsidRDefault="002A46B5" w:rsidP="007111FD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AA718C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срок подготовки документов  (сутки) </w:t>
            </w:r>
          </w:p>
        </w:tc>
        <w:tc>
          <w:tcPr>
            <w:tcW w:w="113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г. Новосибирск</w:t>
            </w:r>
          </w:p>
        </w:tc>
        <w:tc>
          <w:tcPr>
            <w:tcW w:w="533" w:type="dxa"/>
            <w:hideMark/>
          </w:tcPr>
          <w:p w:rsidR="002A46B5" w:rsidRPr="001914C2" w:rsidRDefault="002A46B5" w:rsidP="001914C2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> </w:t>
            </w:r>
          </w:p>
        </w:tc>
      </w:tr>
      <w:tr w:rsidR="002A46B5" w:rsidRPr="001914C2" w:rsidTr="00B23025">
        <w:trPr>
          <w:trHeight w:val="1981"/>
        </w:trPr>
        <w:tc>
          <w:tcPr>
            <w:tcW w:w="993" w:type="dxa"/>
          </w:tcPr>
          <w:p w:rsidR="002A46B5" w:rsidRDefault="002A46B5" w:rsidP="007111FD">
            <w:pPr>
              <w:ind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09.2.711235.0.</w:t>
            </w:r>
          </w:p>
          <w:p w:rsidR="002A46B5" w:rsidRPr="001778F7" w:rsidRDefault="002A46B5" w:rsidP="001778F7">
            <w:pPr>
              <w:ind w:left="-57" w:right="-57" w:firstLine="0"/>
              <w:jc w:val="center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0000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34" w:type="dxa"/>
          </w:tcPr>
          <w:p w:rsidR="002A46B5" w:rsidRPr="00C04908" w:rsidRDefault="002A46B5" w:rsidP="00C04908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Выдача материалов из базы данных топографо-геодезической и проектно-планировочной информации</w:t>
            </w:r>
          </w:p>
        </w:tc>
        <w:tc>
          <w:tcPr>
            <w:tcW w:w="68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71.12.35.120</w:t>
            </w:r>
          </w:p>
        </w:tc>
        <w:tc>
          <w:tcPr>
            <w:tcW w:w="1159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муниципальная</w:t>
            </w:r>
          </w:p>
        </w:tc>
        <w:tc>
          <w:tcPr>
            <w:tcW w:w="1061" w:type="dxa"/>
          </w:tcPr>
          <w:p w:rsidR="002A46B5" w:rsidRPr="00582301" w:rsidRDefault="002A46B5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2A46B5" w:rsidRPr="00C04908" w:rsidRDefault="002A46B5" w:rsidP="00C04908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предоставление во временное пользование электронных копий топографических планшетов</w:t>
            </w:r>
          </w:p>
        </w:tc>
        <w:tc>
          <w:tcPr>
            <w:tcW w:w="955" w:type="dxa"/>
          </w:tcPr>
          <w:p w:rsidR="002A46B5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>в электронном виде</w:t>
            </w:r>
            <w:r>
              <w:rPr>
                <w:rFonts w:cs="Times New Roman"/>
                <w:sz w:val="12"/>
                <w:szCs w:val="12"/>
              </w:rPr>
              <w:t xml:space="preserve"> по запросу</w:t>
            </w:r>
          </w:p>
          <w:p w:rsidR="002A46B5" w:rsidRPr="001914C2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2A46B5" w:rsidRPr="00582301" w:rsidRDefault="002A46B5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2A46B5" w:rsidRDefault="002A46B5" w:rsidP="00C04908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1. Пункт 2 постановления мэрии города Новосибирска от 17.02.2012 № 1479 «О создании муниципального бюджетного учреждения города Новосибирска «</w:t>
            </w:r>
            <w:proofErr w:type="spellStart"/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Геофонд</w:t>
            </w:r>
            <w:proofErr w:type="spellEnd"/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» путем изменения типа и наименования муниципального автономного учреждения города Новосибирска «Информационное обеспечение градостроительства»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2A46B5" w:rsidRPr="00C04908" w:rsidRDefault="002A46B5" w:rsidP="00C04908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 2. Пункты 3.20, 3.21, 3.39 Положения, утвержденного решением Совета депутатов от 09.10.2007 № 705 «О департаменте строительства и архитектуры мэрии города Новосибирска»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,</w:t>
            </w:r>
          </w:p>
          <w:p w:rsidR="002A46B5" w:rsidRPr="00C04908" w:rsidRDefault="002A46B5" w:rsidP="00C04908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3. </w:t>
            </w:r>
            <w:proofErr w:type="gramStart"/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Раздел 3.2 Административного регламента, утвержденного постановлением мэрии города Новосибирска от 07.09.2017 № 4179 (ред. от 04.10.2017) «Об административном регламенте предоставления муниципальной услуги по подготовке, регистрации и выдаче градостроительного плана земельного участка, внесении изменений в таблицу приложения к постановлению мэрии города Новосибирска от 22.07.2015 № 4855 «Об утверждении перечня муниципальных услуг, предоставляемых мэрией города Новосибирска» и признании утратившими силу отдельных постановлений (положений </w:t>
            </w: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lastRenderedPageBreak/>
              <w:t>постановлений</w:t>
            </w:r>
            <w:proofErr w:type="gramEnd"/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) мэра города Новосибирска, мэрии города Новосибирска»</w:t>
            </w:r>
          </w:p>
        </w:tc>
        <w:tc>
          <w:tcPr>
            <w:tcW w:w="113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</w:t>
            </w:r>
          </w:p>
        </w:tc>
        <w:tc>
          <w:tcPr>
            <w:tcW w:w="1134" w:type="dxa"/>
          </w:tcPr>
          <w:p w:rsidR="002A46B5" w:rsidRPr="00C04908" w:rsidRDefault="002A46B5" w:rsidP="00C04908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количество выполненных заявок  (штука) </w:t>
            </w:r>
          </w:p>
        </w:tc>
        <w:tc>
          <w:tcPr>
            <w:tcW w:w="992" w:type="dxa"/>
          </w:tcPr>
          <w:p w:rsidR="002A46B5" w:rsidRPr="00C04908" w:rsidRDefault="002A46B5" w:rsidP="00C04908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срок оказания  (сутки)</w:t>
            </w:r>
            <w:r w:rsidRPr="00C04908">
              <w:rPr>
                <w:rFonts w:eastAsia="Times New Roman"/>
                <w:b/>
                <w:spacing w:val="-2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г. Новосибирск</w:t>
            </w:r>
          </w:p>
        </w:tc>
        <w:tc>
          <w:tcPr>
            <w:tcW w:w="533" w:type="dxa"/>
          </w:tcPr>
          <w:p w:rsidR="002A46B5" w:rsidRDefault="002A4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A46B5" w:rsidRPr="00582301" w:rsidTr="00132EF6">
        <w:trPr>
          <w:trHeight w:val="1266"/>
        </w:trPr>
        <w:tc>
          <w:tcPr>
            <w:tcW w:w="993" w:type="dxa"/>
          </w:tcPr>
          <w:p w:rsidR="002A46B5" w:rsidRDefault="002A46B5" w:rsidP="007111FD">
            <w:pPr>
              <w:ind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lastRenderedPageBreak/>
              <w:t>09.2.711235.0.</w:t>
            </w:r>
          </w:p>
          <w:p w:rsidR="002A46B5" w:rsidRPr="001778F7" w:rsidRDefault="002A46B5" w:rsidP="001778F7">
            <w:pPr>
              <w:ind w:left="-57" w:right="-57" w:firstLine="0"/>
              <w:jc w:val="center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1778F7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0000</w:t>
            </w:r>
            <w:r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</w:tcPr>
          <w:p w:rsidR="002A46B5" w:rsidRPr="00C04908" w:rsidRDefault="002A46B5" w:rsidP="00C04908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Пересчет (преобразование) координатных точек объектов дежурного плана в системах координат </w:t>
            </w:r>
          </w:p>
        </w:tc>
        <w:tc>
          <w:tcPr>
            <w:tcW w:w="68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71.12.35.120</w:t>
            </w:r>
          </w:p>
        </w:tc>
        <w:tc>
          <w:tcPr>
            <w:tcW w:w="1159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муниципальная</w:t>
            </w:r>
          </w:p>
        </w:tc>
        <w:tc>
          <w:tcPr>
            <w:tcW w:w="1061" w:type="dxa"/>
          </w:tcPr>
          <w:p w:rsidR="002A46B5" w:rsidRPr="00582301" w:rsidRDefault="002A46B5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2A46B5" w:rsidRPr="00C04908" w:rsidRDefault="002A46B5" w:rsidP="00C04908">
            <w:pPr>
              <w:ind w:left="-57" w:right="-57" w:firstLine="0"/>
              <w:jc w:val="left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пересчет (преобразование) координатных точек объектов дежурного плана в системах координат </w:t>
            </w:r>
          </w:p>
        </w:tc>
        <w:tc>
          <w:tcPr>
            <w:tcW w:w="955" w:type="dxa"/>
          </w:tcPr>
          <w:p w:rsidR="002A46B5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>в электронном виде</w:t>
            </w:r>
            <w:r>
              <w:rPr>
                <w:rFonts w:cs="Times New Roman"/>
                <w:sz w:val="12"/>
                <w:szCs w:val="12"/>
              </w:rPr>
              <w:t xml:space="preserve"> по запросу</w:t>
            </w:r>
          </w:p>
          <w:p w:rsidR="002A46B5" w:rsidRPr="001914C2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2A46B5" w:rsidRPr="00582301" w:rsidRDefault="002A46B5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2A46B5" w:rsidRPr="00C04908" w:rsidRDefault="002A46B5" w:rsidP="00132EF6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1. Пункт 2 постановления мэрии города Новосибирска от 17.02.2012 № 1479 «О создании муниципального бюджетного учреждения города Новосибирска «</w:t>
            </w:r>
            <w:proofErr w:type="spellStart"/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Геофонд</w:t>
            </w:r>
            <w:proofErr w:type="spellEnd"/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» путем изменения типа и наименования муниципального автономного учреждения города Новосибирска «Информационное обеспечение градостроительства»</w:t>
            </w:r>
            <w:r w:rsidR="00132EF6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13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</w:t>
            </w:r>
          </w:p>
        </w:tc>
        <w:tc>
          <w:tcPr>
            <w:tcW w:w="1134" w:type="dxa"/>
          </w:tcPr>
          <w:p w:rsidR="002A46B5" w:rsidRPr="00C04908" w:rsidRDefault="002A46B5" w:rsidP="00C04908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количество объектов  (штука) </w:t>
            </w:r>
          </w:p>
        </w:tc>
        <w:tc>
          <w:tcPr>
            <w:tcW w:w="992" w:type="dxa"/>
          </w:tcPr>
          <w:p w:rsidR="002A46B5" w:rsidRPr="00C04908" w:rsidRDefault="002A46B5" w:rsidP="00C04908">
            <w:pPr>
              <w:ind w:left="-57" w:right="-57" w:firstLine="0"/>
              <w:rPr>
                <w:rFonts w:eastAsia="Times New Roman"/>
                <w:spacing w:val="-2"/>
                <w:sz w:val="12"/>
                <w:szCs w:val="12"/>
                <w:lang w:eastAsia="ru-RU"/>
              </w:rPr>
            </w:pPr>
            <w:r w:rsidRPr="00C04908">
              <w:rPr>
                <w:rFonts w:eastAsia="Times New Roman"/>
                <w:spacing w:val="-2"/>
                <w:sz w:val="12"/>
                <w:szCs w:val="12"/>
                <w:lang w:eastAsia="ru-RU"/>
              </w:rPr>
              <w:t xml:space="preserve">срок оказания  (сутки) </w:t>
            </w:r>
          </w:p>
        </w:tc>
        <w:tc>
          <w:tcPr>
            <w:tcW w:w="1134" w:type="dxa"/>
          </w:tcPr>
          <w:p w:rsidR="002A46B5" w:rsidRPr="00E57A81" w:rsidRDefault="002A46B5" w:rsidP="007111FD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г. Новосибирск</w:t>
            </w:r>
          </w:p>
        </w:tc>
        <w:tc>
          <w:tcPr>
            <w:tcW w:w="533" w:type="dxa"/>
            <w:hideMark/>
          </w:tcPr>
          <w:p w:rsidR="002A46B5" w:rsidRPr="00582301" w:rsidRDefault="002A46B5" w:rsidP="00582301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 </w:t>
            </w:r>
          </w:p>
        </w:tc>
      </w:tr>
    </w:tbl>
    <w:p w:rsidR="00B23025" w:rsidRDefault="00B23025" w:rsidP="00B23025">
      <w:pPr>
        <w:ind w:firstLine="0"/>
        <w:rPr>
          <w:rFonts w:cs="Times New Roman"/>
          <w:sz w:val="20"/>
          <w:szCs w:val="20"/>
        </w:rPr>
      </w:pPr>
    </w:p>
    <w:p w:rsidR="007D05F1" w:rsidRDefault="007D05F1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C25596" w:rsidRDefault="00C25596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B23025" w:rsidRDefault="00B23025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B23025" w:rsidRDefault="00B23025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B23025" w:rsidRDefault="00B23025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B23025" w:rsidRDefault="00B23025" w:rsidP="00732B0E">
      <w:pPr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</w:t>
      </w:r>
    </w:p>
    <w:sectPr w:rsidR="00B23025" w:rsidSect="002A5064">
      <w:pgSz w:w="16838" w:h="11906" w:orient="landscape"/>
      <w:pgMar w:top="1135" w:right="536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4"/>
    <w:rsid w:val="00000D9D"/>
    <w:rsid w:val="00001ED7"/>
    <w:rsid w:val="0000397A"/>
    <w:rsid w:val="00006617"/>
    <w:rsid w:val="00011461"/>
    <w:rsid w:val="00017C6D"/>
    <w:rsid w:val="00020EC4"/>
    <w:rsid w:val="00024FF6"/>
    <w:rsid w:val="00025F68"/>
    <w:rsid w:val="00026766"/>
    <w:rsid w:val="00032CC9"/>
    <w:rsid w:val="0004090E"/>
    <w:rsid w:val="00041E7B"/>
    <w:rsid w:val="000430DF"/>
    <w:rsid w:val="00043F00"/>
    <w:rsid w:val="00044563"/>
    <w:rsid w:val="00044FA2"/>
    <w:rsid w:val="00046179"/>
    <w:rsid w:val="00062C7D"/>
    <w:rsid w:val="00064279"/>
    <w:rsid w:val="000662E3"/>
    <w:rsid w:val="00071D8A"/>
    <w:rsid w:val="00073DE6"/>
    <w:rsid w:val="00075CA0"/>
    <w:rsid w:val="00077F58"/>
    <w:rsid w:val="00091567"/>
    <w:rsid w:val="00091A73"/>
    <w:rsid w:val="000B1750"/>
    <w:rsid w:val="000B3BA6"/>
    <w:rsid w:val="000B5F85"/>
    <w:rsid w:val="000C178C"/>
    <w:rsid w:val="000C1EBA"/>
    <w:rsid w:val="000C2301"/>
    <w:rsid w:val="000D0C99"/>
    <w:rsid w:val="000D3D6D"/>
    <w:rsid w:val="000D40D1"/>
    <w:rsid w:val="000D6FC2"/>
    <w:rsid w:val="000E0462"/>
    <w:rsid w:val="000E5ACF"/>
    <w:rsid w:val="001022A4"/>
    <w:rsid w:val="0011455A"/>
    <w:rsid w:val="001155F5"/>
    <w:rsid w:val="00120B1A"/>
    <w:rsid w:val="00127DFE"/>
    <w:rsid w:val="0013073C"/>
    <w:rsid w:val="001307B0"/>
    <w:rsid w:val="00132EF6"/>
    <w:rsid w:val="001341E9"/>
    <w:rsid w:val="001421B9"/>
    <w:rsid w:val="00144CA8"/>
    <w:rsid w:val="0015401F"/>
    <w:rsid w:val="00155595"/>
    <w:rsid w:val="001642DC"/>
    <w:rsid w:val="00164462"/>
    <w:rsid w:val="00166E46"/>
    <w:rsid w:val="001706DE"/>
    <w:rsid w:val="001778F7"/>
    <w:rsid w:val="00190939"/>
    <w:rsid w:val="001914C2"/>
    <w:rsid w:val="0019222B"/>
    <w:rsid w:val="001924BD"/>
    <w:rsid w:val="001939A3"/>
    <w:rsid w:val="001A5FA9"/>
    <w:rsid w:val="001B0E58"/>
    <w:rsid w:val="001D0FF5"/>
    <w:rsid w:val="001D2EE5"/>
    <w:rsid w:val="001D42E9"/>
    <w:rsid w:val="001D6287"/>
    <w:rsid w:val="001E03D8"/>
    <w:rsid w:val="001E0FD9"/>
    <w:rsid w:val="001E3512"/>
    <w:rsid w:val="001F0B41"/>
    <w:rsid w:val="001F7C74"/>
    <w:rsid w:val="0020210F"/>
    <w:rsid w:val="0020473F"/>
    <w:rsid w:val="00204AB4"/>
    <w:rsid w:val="00206743"/>
    <w:rsid w:val="002101FB"/>
    <w:rsid w:val="002108E9"/>
    <w:rsid w:val="00212014"/>
    <w:rsid w:val="00214371"/>
    <w:rsid w:val="00227BEE"/>
    <w:rsid w:val="0023512D"/>
    <w:rsid w:val="002352A5"/>
    <w:rsid w:val="0023554D"/>
    <w:rsid w:val="00254BEA"/>
    <w:rsid w:val="00255FB0"/>
    <w:rsid w:val="00263EF0"/>
    <w:rsid w:val="00267C4E"/>
    <w:rsid w:val="002854F7"/>
    <w:rsid w:val="00286E0B"/>
    <w:rsid w:val="00291254"/>
    <w:rsid w:val="00292164"/>
    <w:rsid w:val="00294CE3"/>
    <w:rsid w:val="002A01D8"/>
    <w:rsid w:val="002A39AC"/>
    <w:rsid w:val="002A46B5"/>
    <w:rsid w:val="002A5064"/>
    <w:rsid w:val="002A7572"/>
    <w:rsid w:val="002A7965"/>
    <w:rsid w:val="002A7DB4"/>
    <w:rsid w:val="002B36BF"/>
    <w:rsid w:val="002B4A74"/>
    <w:rsid w:val="002B579A"/>
    <w:rsid w:val="002B5894"/>
    <w:rsid w:val="002C1A8F"/>
    <w:rsid w:val="002C20DF"/>
    <w:rsid w:val="002C6902"/>
    <w:rsid w:val="002D348E"/>
    <w:rsid w:val="002E10FF"/>
    <w:rsid w:val="002F03C0"/>
    <w:rsid w:val="0030704A"/>
    <w:rsid w:val="00310441"/>
    <w:rsid w:val="00315840"/>
    <w:rsid w:val="00321D00"/>
    <w:rsid w:val="00322A5B"/>
    <w:rsid w:val="00324820"/>
    <w:rsid w:val="00326727"/>
    <w:rsid w:val="00330DB2"/>
    <w:rsid w:val="00333E3B"/>
    <w:rsid w:val="0033433B"/>
    <w:rsid w:val="003369C9"/>
    <w:rsid w:val="00337021"/>
    <w:rsid w:val="00337FCE"/>
    <w:rsid w:val="00343820"/>
    <w:rsid w:val="003443E5"/>
    <w:rsid w:val="00344831"/>
    <w:rsid w:val="003605E3"/>
    <w:rsid w:val="003610DF"/>
    <w:rsid w:val="00364AA4"/>
    <w:rsid w:val="0036587D"/>
    <w:rsid w:val="00375953"/>
    <w:rsid w:val="003779FF"/>
    <w:rsid w:val="00380687"/>
    <w:rsid w:val="00380BA3"/>
    <w:rsid w:val="00380DE5"/>
    <w:rsid w:val="00382162"/>
    <w:rsid w:val="003919D0"/>
    <w:rsid w:val="003955A3"/>
    <w:rsid w:val="00396D9E"/>
    <w:rsid w:val="003A1F03"/>
    <w:rsid w:val="003A37D0"/>
    <w:rsid w:val="003B1E37"/>
    <w:rsid w:val="003B210C"/>
    <w:rsid w:val="003B2A7B"/>
    <w:rsid w:val="003B3E8E"/>
    <w:rsid w:val="003C439F"/>
    <w:rsid w:val="003C68FC"/>
    <w:rsid w:val="003C7290"/>
    <w:rsid w:val="003D0AE9"/>
    <w:rsid w:val="003F4861"/>
    <w:rsid w:val="003F5404"/>
    <w:rsid w:val="0040362D"/>
    <w:rsid w:val="0040425F"/>
    <w:rsid w:val="00407BEB"/>
    <w:rsid w:val="004105FB"/>
    <w:rsid w:val="00411813"/>
    <w:rsid w:val="00413E8C"/>
    <w:rsid w:val="0042248A"/>
    <w:rsid w:val="00424EEE"/>
    <w:rsid w:val="00426AED"/>
    <w:rsid w:val="00434891"/>
    <w:rsid w:val="00444470"/>
    <w:rsid w:val="00445097"/>
    <w:rsid w:val="00445980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74B"/>
    <w:rsid w:val="00483F3D"/>
    <w:rsid w:val="0049169E"/>
    <w:rsid w:val="004956A0"/>
    <w:rsid w:val="004A1388"/>
    <w:rsid w:val="004B2579"/>
    <w:rsid w:val="004B7E67"/>
    <w:rsid w:val="004D2D19"/>
    <w:rsid w:val="004D57B8"/>
    <w:rsid w:val="004D6D4D"/>
    <w:rsid w:val="004D7546"/>
    <w:rsid w:val="004E3295"/>
    <w:rsid w:val="004E3F0B"/>
    <w:rsid w:val="004E5291"/>
    <w:rsid w:val="004F3438"/>
    <w:rsid w:val="004F547F"/>
    <w:rsid w:val="00502665"/>
    <w:rsid w:val="00505312"/>
    <w:rsid w:val="00512CEA"/>
    <w:rsid w:val="00513CF8"/>
    <w:rsid w:val="00515CA8"/>
    <w:rsid w:val="00516593"/>
    <w:rsid w:val="00516650"/>
    <w:rsid w:val="00517F85"/>
    <w:rsid w:val="00520728"/>
    <w:rsid w:val="0052699D"/>
    <w:rsid w:val="005276CE"/>
    <w:rsid w:val="00531106"/>
    <w:rsid w:val="00536071"/>
    <w:rsid w:val="00544AA1"/>
    <w:rsid w:val="00547779"/>
    <w:rsid w:val="00551A1F"/>
    <w:rsid w:val="00553029"/>
    <w:rsid w:val="00561A75"/>
    <w:rsid w:val="005652A9"/>
    <w:rsid w:val="0056732F"/>
    <w:rsid w:val="005706DA"/>
    <w:rsid w:val="00574037"/>
    <w:rsid w:val="00574487"/>
    <w:rsid w:val="005817C7"/>
    <w:rsid w:val="00582301"/>
    <w:rsid w:val="00582426"/>
    <w:rsid w:val="00590963"/>
    <w:rsid w:val="00596F8D"/>
    <w:rsid w:val="0059781E"/>
    <w:rsid w:val="00597A3F"/>
    <w:rsid w:val="00597A6E"/>
    <w:rsid w:val="005A5A5F"/>
    <w:rsid w:val="005B2CF0"/>
    <w:rsid w:val="005B32F6"/>
    <w:rsid w:val="005B5221"/>
    <w:rsid w:val="005C0172"/>
    <w:rsid w:val="005C2055"/>
    <w:rsid w:val="005C4037"/>
    <w:rsid w:val="005D351F"/>
    <w:rsid w:val="006004A2"/>
    <w:rsid w:val="00600BB6"/>
    <w:rsid w:val="006014CA"/>
    <w:rsid w:val="006158DC"/>
    <w:rsid w:val="006214F0"/>
    <w:rsid w:val="00626BC3"/>
    <w:rsid w:val="0062753F"/>
    <w:rsid w:val="0063019C"/>
    <w:rsid w:val="0064001B"/>
    <w:rsid w:val="00640BF2"/>
    <w:rsid w:val="00642924"/>
    <w:rsid w:val="00661855"/>
    <w:rsid w:val="006656AD"/>
    <w:rsid w:val="00666F6D"/>
    <w:rsid w:val="00670F2C"/>
    <w:rsid w:val="00671F13"/>
    <w:rsid w:val="006762E1"/>
    <w:rsid w:val="00684BEA"/>
    <w:rsid w:val="00685A93"/>
    <w:rsid w:val="00691214"/>
    <w:rsid w:val="006912FA"/>
    <w:rsid w:val="00691B7A"/>
    <w:rsid w:val="006A1EB7"/>
    <w:rsid w:val="006A3E4C"/>
    <w:rsid w:val="006A538B"/>
    <w:rsid w:val="006A5E84"/>
    <w:rsid w:val="006A6BE1"/>
    <w:rsid w:val="006B21D6"/>
    <w:rsid w:val="006B2223"/>
    <w:rsid w:val="006B4C7E"/>
    <w:rsid w:val="006B5F39"/>
    <w:rsid w:val="006C13C2"/>
    <w:rsid w:val="006D408C"/>
    <w:rsid w:val="006D69EB"/>
    <w:rsid w:val="006D7DE7"/>
    <w:rsid w:val="006E0E4A"/>
    <w:rsid w:val="006E2231"/>
    <w:rsid w:val="006E4D68"/>
    <w:rsid w:val="006F2B13"/>
    <w:rsid w:val="006F5DAA"/>
    <w:rsid w:val="00704FF3"/>
    <w:rsid w:val="00705AF7"/>
    <w:rsid w:val="00707A65"/>
    <w:rsid w:val="007100F6"/>
    <w:rsid w:val="00710571"/>
    <w:rsid w:val="00714C32"/>
    <w:rsid w:val="00716148"/>
    <w:rsid w:val="00723EE1"/>
    <w:rsid w:val="00725E40"/>
    <w:rsid w:val="00730B80"/>
    <w:rsid w:val="00732B0E"/>
    <w:rsid w:val="00735B5B"/>
    <w:rsid w:val="00743DF3"/>
    <w:rsid w:val="00754B5C"/>
    <w:rsid w:val="00757A34"/>
    <w:rsid w:val="00760712"/>
    <w:rsid w:val="0076199E"/>
    <w:rsid w:val="00763AB2"/>
    <w:rsid w:val="00763B30"/>
    <w:rsid w:val="00765615"/>
    <w:rsid w:val="007663C1"/>
    <w:rsid w:val="007756FF"/>
    <w:rsid w:val="007855E8"/>
    <w:rsid w:val="00791AB0"/>
    <w:rsid w:val="00793640"/>
    <w:rsid w:val="007942D9"/>
    <w:rsid w:val="007A22C5"/>
    <w:rsid w:val="007A451D"/>
    <w:rsid w:val="007C4381"/>
    <w:rsid w:val="007D05F1"/>
    <w:rsid w:val="007D2997"/>
    <w:rsid w:val="007D6F6A"/>
    <w:rsid w:val="007D7280"/>
    <w:rsid w:val="007E6335"/>
    <w:rsid w:val="007F1849"/>
    <w:rsid w:val="007F347B"/>
    <w:rsid w:val="007F3529"/>
    <w:rsid w:val="007F520E"/>
    <w:rsid w:val="007F5ED5"/>
    <w:rsid w:val="007F6D79"/>
    <w:rsid w:val="00800217"/>
    <w:rsid w:val="00801BAB"/>
    <w:rsid w:val="00803118"/>
    <w:rsid w:val="00804F75"/>
    <w:rsid w:val="00807611"/>
    <w:rsid w:val="00810E1B"/>
    <w:rsid w:val="00812809"/>
    <w:rsid w:val="008168FE"/>
    <w:rsid w:val="00817A1E"/>
    <w:rsid w:val="008248F6"/>
    <w:rsid w:val="008260AA"/>
    <w:rsid w:val="008274FB"/>
    <w:rsid w:val="00834C08"/>
    <w:rsid w:val="00835FA7"/>
    <w:rsid w:val="0084631E"/>
    <w:rsid w:val="00855845"/>
    <w:rsid w:val="00856F08"/>
    <w:rsid w:val="00862C74"/>
    <w:rsid w:val="0087181D"/>
    <w:rsid w:val="00873F25"/>
    <w:rsid w:val="008771BB"/>
    <w:rsid w:val="00880328"/>
    <w:rsid w:val="00883231"/>
    <w:rsid w:val="00884FA5"/>
    <w:rsid w:val="00885117"/>
    <w:rsid w:val="00887EF7"/>
    <w:rsid w:val="0089277F"/>
    <w:rsid w:val="00895B5E"/>
    <w:rsid w:val="008A1F05"/>
    <w:rsid w:val="008B7395"/>
    <w:rsid w:val="008C700B"/>
    <w:rsid w:val="008C73B3"/>
    <w:rsid w:val="008E3CF2"/>
    <w:rsid w:val="008E69B1"/>
    <w:rsid w:val="008F31BB"/>
    <w:rsid w:val="008F3DA3"/>
    <w:rsid w:val="008F4B4F"/>
    <w:rsid w:val="0090141F"/>
    <w:rsid w:val="00906B07"/>
    <w:rsid w:val="00916E7A"/>
    <w:rsid w:val="0092393A"/>
    <w:rsid w:val="009253FB"/>
    <w:rsid w:val="009257E5"/>
    <w:rsid w:val="00930028"/>
    <w:rsid w:val="0093160B"/>
    <w:rsid w:val="00934195"/>
    <w:rsid w:val="009453D4"/>
    <w:rsid w:val="00946F27"/>
    <w:rsid w:val="0095196C"/>
    <w:rsid w:val="00952756"/>
    <w:rsid w:val="00953C31"/>
    <w:rsid w:val="009601BC"/>
    <w:rsid w:val="0096196E"/>
    <w:rsid w:val="00971378"/>
    <w:rsid w:val="00987B66"/>
    <w:rsid w:val="00997FBC"/>
    <w:rsid w:val="009A4094"/>
    <w:rsid w:val="009A4B9E"/>
    <w:rsid w:val="009A650F"/>
    <w:rsid w:val="009B0B05"/>
    <w:rsid w:val="009B6502"/>
    <w:rsid w:val="009B7D90"/>
    <w:rsid w:val="009C321C"/>
    <w:rsid w:val="009C5665"/>
    <w:rsid w:val="009C5B28"/>
    <w:rsid w:val="009D2166"/>
    <w:rsid w:val="009D350E"/>
    <w:rsid w:val="009D5CD7"/>
    <w:rsid w:val="009E246A"/>
    <w:rsid w:val="009E3964"/>
    <w:rsid w:val="009E743E"/>
    <w:rsid w:val="009E77AF"/>
    <w:rsid w:val="009F1A0B"/>
    <w:rsid w:val="009F377B"/>
    <w:rsid w:val="009F6343"/>
    <w:rsid w:val="00A12A22"/>
    <w:rsid w:val="00A218BE"/>
    <w:rsid w:val="00A223A0"/>
    <w:rsid w:val="00A233DE"/>
    <w:rsid w:val="00A24E9D"/>
    <w:rsid w:val="00A26BD7"/>
    <w:rsid w:val="00A301A5"/>
    <w:rsid w:val="00A30C66"/>
    <w:rsid w:val="00A32CCA"/>
    <w:rsid w:val="00A35D00"/>
    <w:rsid w:val="00A40AAB"/>
    <w:rsid w:val="00A40E99"/>
    <w:rsid w:val="00A4702D"/>
    <w:rsid w:val="00A56302"/>
    <w:rsid w:val="00A60B2E"/>
    <w:rsid w:val="00A6102D"/>
    <w:rsid w:val="00A65E07"/>
    <w:rsid w:val="00A66860"/>
    <w:rsid w:val="00A70692"/>
    <w:rsid w:val="00A70BD5"/>
    <w:rsid w:val="00A70D06"/>
    <w:rsid w:val="00A723C3"/>
    <w:rsid w:val="00A7469C"/>
    <w:rsid w:val="00A76BF7"/>
    <w:rsid w:val="00A82CF0"/>
    <w:rsid w:val="00A84383"/>
    <w:rsid w:val="00A929F2"/>
    <w:rsid w:val="00A92F4B"/>
    <w:rsid w:val="00A95E3C"/>
    <w:rsid w:val="00A962F4"/>
    <w:rsid w:val="00AA718C"/>
    <w:rsid w:val="00AB0C6B"/>
    <w:rsid w:val="00AB1E36"/>
    <w:rsid w:val="00AC57E8"/>
    <w:rsid w:val="00AC5FFF"/>
    <w:rsid w:val="00AC726D"/>
    <w:rsid w:val="00AD38C1"/>
    <w:rsid w:val="00AD656C"/>
    <w:rsid w:val="00AE15F2"/>
    <w:rsid w:val="00AE3192"/>
    <w:rsid w:val="00AE37B5"/>
    <w:rsid w:val="00AE5903"/>
    <w:rsid w:val="00AF0737"/>
    <w:rsid w:val="00AF1043"/>
    <w:rsid w:val="00AF4E5B"/>
    <w:rsid w:val="00B069EB"/>
    <w:rsid w:val="00B13402"/>
    <w:rsid w:val="00B13850"/>
    <w:rsid w:val="00B205A8"/>
    <w:rsid w:val="00B20827"/>
    <w:rsid w:val="00B214CD"/>
    <w:rsid w:val="00B23025"/>
    <w:rsid w:val="00B31D7F"/>
    <w:rsid w:val="00B36131"/>
    <w:rsid w:val="00B37C97"/>
    <w:rsid w:val="00B46FAB"/>
    <w:rsid w:val="00B50FAC"/>
    <w:rsid w:val="00B56BB4"/>
    <w:rsid w:val="00B7589E"/>
    <w:rsid w:val="00B8348E"/>
    <w:rsid w:val="00B83A25"/>
    <w:rsid w:val="00B841F3"/>
    <w:rsid w:val="00B95F6A"/>
    <w:rsid w:val="00B96A4D"/>
    <w:rsid w:val="00BA15E1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5F6E"/>
    <w:rsid w:val="00BF0F55"/>
    <w:rsid w:val="00BF25CF"/>
    <w:rsid w:val="00BF25D0"/>
    <w:rsid w:val="00C01F97"/>
    <w:rsid w:val="00C04499"/>
    <w:rsid w:val="00C04908"/>
    <w:rsid w:val="00C11FD4"/>
    <w:rsid w:val="00C169D7"/>
    <w:rsid w:val="00C20B27"/>
    <w:rsid w:val="00C25596"/>
    <w:rsid w:val="00C26783"/>
    <w:rsid w:val="00C33D8F"/>
    <w:rsid w:val="00C42EB5"/>
    <w:rsid w:val="00C50DE8"/>
    <w:rsid w:val="00C52A88"/>
    <w:rsid w:val="00C5753E"/>
    <w:rsid w:val="00C6260B"/>
    <w:rsid w:val="00C63886"/>
    <w:rsid w:val="00C64313"/>
    <w:rsid w:val="00C74EA0"/>
    <w:rsid w:val="00C7673C"/>
    <w:rsid w:val="00C80AAE"/>
    <w:rsid w:val="00C83C81"/>
    <w:rsid w:val="00C85DE9"/>
    <w:rsid w:val="00C8646E"/>
    <w:rsid w:val="00C903EA"/>
    <w:rsid w:val="00C9696A"/>
    <w:rsid w:val="00CA7652"/>
    <w:rsid w:val="00CB4BA5"/>
    <w:rsid w:val="00CD4725"/>
    <w:rsid w:val="00CD4B93"/>
    <w:rsid w:val="00CD64A5"/>
    <w:rsid w:val="00CD655E"/>
    <w:rsid w:val="00CE2BEC"/>
    <w:rsid w:val="00CE3B18"/>
    <w:rsid w:val="00CE5CCE"/>
    <w:rsid w:val="00CF3877"/>
    <w:rsid w:val="00CF5B64"/>
    <w:rsid w:val="00CF68AA"/>
    <w:rsid w:val="00CF6B1C"/>
    <w:rsid w:val="00D06EE9"/>
    <w:rsid w:val="00D13AAC"/>
    <w:rsid w:val="00D14759"/>
    <w:rsid w:val="00D15213"/>
    <w:rsid w:val="00D16BCF"/>
    <w:rsid w:val="00D220DC"/>
    <w:rsid w:val="00D3464E"/>
    <w:rsid w:val="00D42D1D"/>
    <w:rsid w:val="00D44081"/>
    <w:rsid w:val="00D44098"/>
    <w:rsid w:val="00D52216"/>
    <w:rsid w:val="00D56D9C"/>
    <w:rsid w:val="00D57C88"/>
    <w:rsid w:val="00D60CFE"/>
    <w:rsid w:val="00D6237F"/>
    <w:rsid w:val="00D64D31"/>
    <w:rsid w:val="00D667E8"/>
    <w:rsid w:val="00D70631"/>
    <w:rsid w:val="00D7537B"/>
    <w:rsid w:val="00D777CB"/>
    <w:rsid w:val="00D83A80"/>
    <w:rsid w:val="00D942E8"/>
    <w:rsid w:val="00D9502E"/>
    <w:rsid w:val="00D97D2A"/>
    <w:rsid w:val="00DA3127"/>
    <w:rsid w:val="00DB01F3"/>
    <w:rsid w:val="00DB1C67"/>
    <w:rsid w:val="00DB2F27"/>
    <w:rsid w:val="00DB5B98"/>
    <w:rsid w:val="00DB5C7A"/>
    <w:rsid w:val="00DB5CCC"/>
    <w:rsid w:val="00DC2D03"/>
    <w:rsid w:val="00DD6F9A"/>
    <w:rsid w:val="00DF213B"/>
    <w:rsid w:val="00E0022B"/>
    <w:rsid w:val="00E00DB5"/>
    <w:rsid w:val="00E05447"/>
    <w:rsid w:val="00E20738"/>
    <w:rsid w:val="00E209D6"/>
    <w:rsid w:val="00E216BC"/>
    <w:rsid w:val="00E31BE5"/>
    <w:rsid w:val="00E352DC"/>
    <w:rsid w:val="00E4142A"/>
    <w:rsid w:val="00E4516A"/>
    <w:rsid w:val="00E46116"/>
    <w:rsid w:val="00E46508"/>
    <w:rsid w:val="00E47521"/>
    <w:rsid w:val="00E52EF7"/>
    <w:rsid w:val="00E547F5"/>
    <w:rsid w:val="00E54B28"/>
    <w:rsid w:val="00E57A81"/>
    <w:rsid w:val="00E6218F"/>
    <w:rsid w:val="00E622A0"/>
    <w:rsid w:val="00E627B3"/>
    <w:rsid w:val="00E65934"/>
    <w:rsid w:val="00E67CAB"/>
    <w:rsid w:val="00E70D2A"/>
    <w:rsid w:val="00E72D8F"/>
    <w:rsid w:val="00E73F5A"/>
    <w:rsid w:val="00E82CDE"/>
    <w:rsid w:val="00E8637A"/>
    <w:rsid w:val="00E91D7A"/>
    <w:rsid w:val="00E94433"/>
    <w:rsid w:val="00EA0B25"/>
    <w:rsid w:val="00EA10A9"/>
    <w:rsid w:val="00EA5783"/>
    <w:rsid w:val="00EB214E"/>
    <w:rsid w:val="00EB3638"/>
    <w:rsid w:val="00EB59DA"/>
    <w:rsid w:val="00EC6469"/>
    <w:rsid w:val="00ED0658"/>
    <w:rsid w:val="00ED0ECF"/>
    <w:rsid w:val="00EF045E"/>
    <w:rsid w:val="00EF2F4C"/>
    <w:rsid w:val="00EF3DBC"/>
    <w:rsid w:val="00EF6C24"/>
    <w:rsid w:val="00F02E61"/>
    <w:rsid w:val="00F0320A"/>
    <w:rsid w:val="00F152C4"/>
    <w:rsid w:val="00F33697"/>
    <w:rsid w:val="00F358EC"/>
    <w:rsid w:val="00F35BCE"/>
    <w:rsid w:val="00F4420E"/>
    <w:rsid w:val="00F44B65"/>
    <w:rsid w:val="00F47859"/>
    <w:rsid w:val="00F56991"/>
    <w:rsid w:val="00F67541"/>
    <w:rsid w:val="00F67718"/>
    <w:rsid w:val="00F72DB6"/>
    <w:rsid w:val="00F746AB"/>
    <w:rsid w:val="00F74AFE"/>
    <w:rsid w:val="00F80B55"/>
    <w:rsid w:val="00F84881"/>
    <w:rsid w:val="00F961CC"/>
    <w:rsid w:val="00F97D08"/>
    <w:rsid w:val="00FA025F"/>
    <w:rsid w:val="00FA2510"/>
    <w:rsid w:val="00FA3DCE"/>
    <w:rsid w:val="00FA4D25"/>
    <w:rsid w:val="00FB0195"/>
    <w:rsid w:val="00FB7D48"/>
    <w:rsid w:val="00FC01BB"/>
    <w:rsid w:val="00FC0D90"/>
    <w:rsid w:val="00FD11D3"/>
    <w:rsid w:val="00FD13B9"/>
    <w:rsid w:val="00FD4D15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a0"/>
    <w:rsid w:val="00206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pt">
    <w:name w:val="Body text (2) + 9 pt"/>
    <w:basedOn w:val="a0"/>
    <w:rsid w:val="0038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ptItalic">
    <w:name w:val="Body text (2) + 9 pt;Italic"/>
    <w:basedOn w:val="a0"/>
    <w:rsid w:val="004D6D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85ptBold">
    <w:name w:val="Body text (2) + 8.5 pt;Bold"/>
    <w:basedOn w:val="a0"/>
    <w:rsid w:val="00B31D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a0"/>
    <w:rsid w:val="00206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pt">
    <w:name w:val="Body text (2) + 9 pt"/>
    <w:basedOn w:val="a0"/>
    <w:rsid w:val="0038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ptItalic">
    <w:name w:val="Body text (2) + 9 pt;Italic"/>
    <w:basedOn w:val="a0"/>
    <w:rsid w:val="004D6D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85ptBold">
    <w:name w:val="Body text (2) + 8.5 pt;Bold"/>
    <w:basedOn w:val="a0"/>
    <w:rsid w:val="00B31D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B4DE-2FE9-4B65-A0CE-40A440F0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Сергей Петрович</dc:creator>
  <cp:lastModifiedBy>Мигачева</cp:lastModifiedBy>
  <cp:revision>7</cp:revision>
  <cp:lastPrinted>2018-05-16T03:42:00Z</cp:lastPrinted>
  <dcterms:created xsi:type="dcterms:W3CDTF">2018-05-16T02:30:00Z</dcterms:created>
  <dcterms:modified xsi:type="dcterms:W3CDTF">2018-06-18T08:45:00Z</dcterms:modified>
</cp:coreProperties>
</file>