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2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3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contextualSpacing/>
              <w:ind w:left="283" w:right="36" w:firstLine="0"/>
              <w:jc w:val="center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ПРИЛОЖЕНИЕ №1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283" w:right="36" w:firstLine="0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 порядку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предоставления грантов в форме субсидий на оказание государственной поддержки инвестиционных проектов по созданию модульных некапитальных средств размещени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в 2023 и 2024 годах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4394" w:right="0" w:firstLine="0"/>
        <w:jc w:val="center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9842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7"/>
        <w:gridCol w:w="5244"/>
      </w:tblGrid>
      <w:tr>
        <w:trPr/>
        <w:tc>
          <w:tcPr>
            <w:tcW w:w="4597" w:type="dxa"/>
            <w:textDirection w:val="lrTb"/>
            <w:noWrap w:val="false"/>
          </w:tcPr>
          <w:p>
            <w:pPr>
              <w:ind w:left="-850" w:right="0" w:firstLine="0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Дата __________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firstLine="0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0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0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contextualSpacing/>
        <w:ind w:left="0" w:right="0" w:firstLine="0"/>
        <w:jc w:val="center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пред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оставление гранта в форме субсидий на оказание государственной поддержки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инвестиционного проекта по созданию модульных некапитальных средств размещения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2023 и 2024 годах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(ИНН, ОГРН (для юридического лица) или ОГРНИП (для индивидуального предпринимателя))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(основные виды деятельности)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– получатель гранта)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лице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(наименование должности, фамилия, имя, отчество (при наличии) руководителя или уполномоченного лица юридического лица (заполняется юридическим лицом))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целях реализации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инвестиционного проекта по созданию модульных некапитальных средств размещения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проект)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(наименование проекта)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направляет заявление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оставление гранта в форме субсидий на оказание государственной поддержки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инвестиционного проекта по созданию модульных некапитальных средств размещения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2023 и 2024 годах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 предусмотрено реализовать на находящемся в пользовании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/собственности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 получателя гранта земельном участке с кадастровым номером,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(кадастровый номер земельного участка)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расположенном на территории ___________________________________________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center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(наименование муниципального образования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, на территории которого предусмотрена реализация проекта)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both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предусматривающий создание ____ номеров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т.ч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2023 году – ______,</w:t>
        <w:br/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2024 год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 – _____, а также 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0"/>
        <w:jc w:val="both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(указать сведения о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планируемых работах по обеспечению модульных некапитальных средств размещения электроснабжением, водоснабжением, водоотведением, благоустройством прилегающих к ним территорий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)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Объем запрашиваемо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осударственной поддержки за счет средств федерального бюджета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составляет: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 рублей, в том числе: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 рублей в 2023 году;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 рублей в 2024 году.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Объем запрашиваемо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осударственной поддержки за счет средств областного бюджета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составляет: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 рублей, в том числе: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 рублей в 2023 году;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 рублей в 2024 году.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Размер собственных финансовых средств участника отбора, вкладываемых в реализацию инвестиционного проекта, составляет: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jc w:val="left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 рублей, в том числе: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 рублей в 2023 году;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_________________________________ рублей в 2024 году.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tabs>
          <w:tab w:val="left" w:pos="850" w:leader="none"/>
        </w:tabs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Настоящим подтверждаю, что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contextualSpacing/>
        <w:ind w:left="0" w:right="0" w:firstLine="709"/>
        <w:jc w:val="both"/>
        <w:tabs>
          <w:tab w:val="left" w:pos="850" w:leader="none"/>
        </w:tabs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отсутствуют неисполненные обязанности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отсутствует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авовыми актами, а также иной просроченная (неурегулированная) задолженность по денежным обязательствам перед Новосибирской областью;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гранта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отсутствует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гранта, являющегося юр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идическим лицом, об индивидуальном предпринимателе;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гранта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находится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процессе реорганизации (за исключением реорганизации в форме присоединения к юридическому лицу – получателю гранта, другого юридического лица), ликвидации, в отношении не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 не введена процедура банкротства, его деятельность не приостановлена в порядке, предусмотренном законодательством Российской Федерации(в случае, если получателем гранта является юридическое лицо); не прекратил свою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деятельность в качестве индивидуального предпринимателя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получателем 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ранта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является индивидуальный предприниматель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гранта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паний в совокупности превышает 25 процентов (если иное не предусмотрено законодательством Российской Федерации);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color w:val="auto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гранта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 не получал средства из областного бюджета Новосибирской области на основании иных нормативных правовых актов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на цели, установленные пунктом 2 Порядка;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гранта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ния об их причастности к распространению оружия массового уничтожения.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firstLine="708"/>
        <w:widowControl w:val="off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гранта в форме субсидий настоящим заявлением берет на себя обязательства: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обеспечить соответствие категории и вида разрешенного использования земельного участка (земельных уча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стков), на кото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ром (которых) предусмотрена реализация инвестиционного проекта по созданию модульных некапитальных средств размещения, включенного в Перечень, категории и виду разрешенного использования земельного участка (земельных участков), предназначенн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ых для создания объектов для временного размещения и временного пребывания туристов;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обеспечить наличие права собственности и (или) права пользования на срок не менее трех лет на земельный участок (земельные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 на кото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ром (которых) предусмотрена реализация инвестиционного проекта по созданию модульных некапитальных средств размещения, включенного в Перечень;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обеспечить временное проживание туристов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создаваемых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счет средств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гранта в форме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модульных некапитальных средствах размещения не менее трех лет с даты получения средств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гранта в форме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оплатить за сч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ет средств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гранта в форме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не более 1 562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00 рублей от стоимости затрат на покупку и монтаж модуль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ного некапитального средства размещения в отношении каждого номера в модульных некапитальных сре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дствах размещения и не более 50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% от стоимости инвестиционного проекта, включенного в Перечень;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обеспечить направление собственных (заемных) средств на реализацию инвестиционного проекта по созданию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модульных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некапитальных средств размещения, включенного в Перечень, в размере не менее чем 50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% от стоимости инвестиционного проект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по созданию модульных некапитальных средств размещения, включенного в Перечень;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обеспечить осуществление вида экономической деятельности, соответствующего одному из классифицируемых в соответствии с Общероссийским классифик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атором видов экономической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деятельности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классам (подклассам, группам, подгруппам) «Деятельность гостиниц и прочих мест для временного проживания» (код 55),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Деятельность санаторно-курортных организаций» (код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86.90.4)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 течение не менее чем трех лет с момента реализации инвестиционного проекта по созданию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модульны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 некапитальных средств размещения;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обеспечить сохранность в течение трех лет с даты получения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гранта в форме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приобретенного за счет средств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гранта в форме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имущества (при этом указанное имущество в соответствии с законодательством Российской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Федерации не подлежит продаже, дарению, передаче в аренду либо в пользование другим лицам (за исключением передачи в целях временного размещения туристов), обмену или взносу в виде пая, вклада или отчуждению иным образом);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32"/>
          <w:szCs w:val="32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согласие на публикацию (раз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мещение) в информационно-телекоммуникационной сети «Интернет» информации о получателе гранта, о подаваемом им заявлении, иной информации о получателе гранта, а также согласие на обработку персональных данных (для индивидуа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льного предпринимателя).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32"/>
          <w:szCs w:val="32"/>
          <w:highlight w:val="white"/>
          <w14:ligatures w14:val="none"/>
        </w:rPr>
      </w:r>
    </w:p>
    <w:p>
      <w:pPr>
        <w:contextualSpacing/>
        <w:ind w:left="709" w:right="0" w:firstLine="0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contextualSpacing/>
        <w:ind w:firstLine="708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остоверность содержащейся в документах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информации подтверждаю.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9983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27"/>
        <w:gridCol w:w="3865"/>
        <w:gridCol w:w="3192"/>
      </w:tblGrid>
      <w:tr>
        <w:trPr/>
        <w:tc>
          <w:tcPr>
            <w:tcW w:w="2927" w:type="dxa"/>
            <w:textDirection w:val="lrTb"/>
            <w:noWrap w:val="false"/>
          </w:tcPr>
          <w:p>
            <w:pPr>
              <w:contextualSpacing/>
              <w:ind w:firstLine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Руководитель юридического лица (уполномоченное лицо) или индивидуальный предприниматель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865" w:type="dxa"/>
            <w:textDirection w:val="lrTb"/>
            <w:noWrap w:val="false"/>
          </w:tcPr>
          <w:p>
            <w:pPr>
              <w:ind w:firstLine="0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92" w:type="dxa"/>
            <w:textDirection w:val="lrTb"/>
            <w:noWrap w:val="false"/>
          </w:tcPr>
          <w:p>
            <w:pPr>
              <w:ind w:firstLine="0"/>
              <w:jc w:val="lef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lef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lef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(фамилия, имя, отчество (при наличии))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927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М.П. 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865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192" w:type="dxa"/>
            <w:vAlign w:val="bottom"/>
            <w:textDirection w:val="lrTb"/>
            <w:noWrap w:val="false"/>
          </w:tcPr>
          <w:p>
            <w:pPr>
              <w:ind w:firstLine="0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____» ________ 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842"/>
        <w:ind w:firstLine="0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left="0" w:right="0"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Финансово-экономическое обоснование потребности в государственной поддержке инвестиционного проекта (наименование инвестиционного проекта) по созданию модульных некапитальных средств размещения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 форме Приложения № 2 к Порядку.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left="0" w:right="0"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Характеристику включенного в Перечень инвестиционного проекта, которая соответствует концепции инвестиционного проекта, представленной в министерство в целях участия в конкурсном отборе субъектов Российской Федерации, проведенном Министерством экономичес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ого развития Российской Федерации на основании Правил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апитальных средств размещения, в виде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резент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left="0" w:right="0"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Правоустанавливающие документы на земельный участок (земельные участки), на территории которого (которых) осуществляется реализация инвестиционного проекта либо документы, подтверждающие право размещения на земельном участке (земельных участках) модульны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 некапитальных средств размещения;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left="0" w:right="0"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Копии документов, подтверждающих фактические затраты собственных средств на обеспечение электроснабжением, водоснабжением и водоотведением, а также благоустройство прилегающих к ним территорий, заверенные участником отбора (в случае начала реализации про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екта и осуществлении таких затрат до даты подачи заявления, но не ранее 14.09.2023);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contextualSpacing/>
        <w:ind w:left="0" w:right="0"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 оборотах по расчетным счетам за период один год до даты направления заявления, копия договора займа, копия кредитного договора, иной документ, подтверждающий возможность 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проекта).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0"/>
        <w:jc w:val="both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  <w:p>
    <w:pPr>
      <w:pStyle w:val="68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  <w:style w:type="paragraph" w:styleId="84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2023-10-26T10:24:49Z</dcterms:modified>
</cp:coreProperties>
</file>