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r/>
      <w:r/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>
        <w:tblPrEx/>
        <w:trPr>
          <w:cantSplit/>
          <w:trHeight w:val="1275"/>
        </w:trPr>
        <w:tc>
          <w:tcPr>
            <w:gridSpan w:val="2"/>
            <w:tcW w:w="10106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right="-45"/>
              <w:jc w:val="center"/>
              <w:shd w:val="clear" w:color="auto" w:fill="ffffff"/>
            </w:pPr>
            <w:r/>
            <w:r/>
          </w:p>
          <w:p>
            <w:pPr>
              <w:ind w:right="40"/>
              <w:jc w:val="center"/>
              <w:spacing w:before="120" w:after="120" w:line="360" w:lineRule="auto"/>
            </w:pPr>
            <w:r>
              <w:rPr>
                <w:b/>
                <w:spacing w:val="40"/>
                <w:sz w:val="36"/>
              </w:rPr>
              <w:t xml:space="preserve">ПРИКАЗ</w:t>
            </w:r>
            <w:r/>
          </w:p>
        </w:tc>
      </w:tr>
      <w:tr>
        <w:tblPrEx/>
        <w:trPr>
          <w:cantSplit/>
          <w:trHeight w:val="373"/>
        </w:trPr>
        <w:tc>
          <w:tcPr>
            <w:tcW w:w="5090" w:type="dxa"/>
            <w:textDirection w:val="lrTb"/>
            <w:noWrap w:val="false"/>
          </w:tcPr>
          <w:p>
            <w:pPr>
              <w:pStyle w:val="683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683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</w:tbl>
    <w:p>
      <w:pPr>
        <w:pStyle w:val="683"/>
        <w:spacing w:line="360" w:lineRule="auto"/>
        <w:sectPr>
          <w:footnotePr/>
          <w:endnotePr/>
          <w:type w:val="nextPage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>
        <w:tblPrEx/>
        <w:trPr>
          <w:cantSplit/>
          <w:trHeight w:val="373"/>
        </w:trPr>
        <w:tc>
          <w:tcPr>
            <w:tcW w:w="9320" w:type="dxa"/>
            <w:textDirection w:val="lrTb"/>
            <w:noWrap w:val="false"/>
          </w:tcPr>
          <w:p>
            <w:pPr>
              <w:pStyle w:val="683"/>
              <w:spacing w:line="360" w:lineRule="auto"/>
            </w:pPr>
            <w:r>
              <w:t xml:space="preserve">        г. Новосибирск</w:t>
            </w:r>
            <w:r/>
          </w:p>
          <w:p>
            <w:r/>
            <w:r/>
          </w:p>
        </w:tc>
        <w:tc>
          <w:tcPr>
            <w:tcW w:w="261" w:type="dxa"/>
            <w:textDirection w:val="lrTb"/>
            <w:noWrap w:val="false"/>
          </w:tcPr>
          <w:p>
            <w:pPr>
              <w:pStyle w:val="683"/>
              <w:ind w:left="64"/>
              <w:jc w:val="right"/>
              <w:spacing w:line="360" w:lineRule="auto"/>
            </w:pPr>
            <w:r/>
            <w:r/>
          </w:p>
        </w:tc>
      </w:tr>
    </w:tbl>
    <w:p>
      <w:pPr>
        <w:pStyle w:val="683"/>
        <w:sectPr>
          <w:footnotePr/>
          <w:endnotePr/>
          <w:type w:val="continuous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приказ министерства образования</w:t>
      </w:r>
      <w:r>
        <w:rPr>
          <w:b/>
          <w:bCs/>
          <w:sz w:val="28"/>
          <w:szCs w:val="28"/>
        </w:rPr>
        <w:t xml:space="preserve">, науки и инновационной политики </w:t>
      </w:r>
      <w:r>
        <w:rPr>
          <w:b/>
          <w:bCs/>
          <w:sz w:val="28"/>
          <w:szCs w:val="28"/>
        </w:rPr>
        <w:t xml:space="preserve">Новосибирской области от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09.02.2012 № 23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р и к а з ы в а ю: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, науки и инновационной политики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от 09.02.2012 № 236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порядка формирования предложений коллегии о присуждении премии «Почетный работник образования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 В списке экспертов по подготовке экспертного заключения: </w:t>
      </w:r>
      <w:r>
        <w:rPr>
          <w:rFonts w:ascii="Times New Roman" w:hAnsi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дополнить строкой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Горбачева Анжела Алексеевна,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сполняющий обязанности директора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государственного автономного профессионального образовательного учреждения Новосибирской области «Новосибирский педагогический колледж № 1 им. А.С. Макаренко»;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строку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Жафярова Мария Наильевна,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директор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государственного автономного профессионального образовательного учреждения Новосибирской области «Новосибирский педагогический колледж № 1 им. А.С. Макаренко»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 исключить.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white"/>
        </w:rPr>
        <w:t xml:space="preserve">инистр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 xml:space="preserve"> </w:t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ab/>
        <w:tab/>
        <w:t xml:space="preserve">М</w:t>
      </w:r>
      <w:r>
        <w:rPr>
          <w:sz w:val="28"/>
          <w:szCs w:val="28"/>
          <w:highlight w:val="white"/>
        </w:rPr>
        <w:t xml:space="preserve">.Н. </w:t>
      </w:r>
      <w:r>
        <w:rPr>
          <w:sz w:val="28"/>
          <w:szCs w:val="28"/>
          <w:highlight w:val="none"/>
        </w:rPr>
        <w:t xml:space="preserve">Жафярова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Одрова Е.А.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228 64 99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pStyle w:val="866"/>
              <w:rPr>
                <w:color w:val="auto"/>
                <w:sz w:val="28"/>
                <w:szCs w:val="20"/>
              </w:rPr>
            </w:pPr>
            <w:r>
              <w:rPr>
                <w:color w:val="auto"/>
                <w:sz w:val="28"/>
                <w:szCs w:val="20"/>
              </w:rPr>
              <w:t xml:space="preserve">Консультант отдела высшей школы и развития педагогических кадров управления молодежной политики </w:t>
            </w:r>
            <w:r>
              <w:rPr>
                <w:sz w:val="28"/>
              </w:rPr>
              <w:t xml:space="preserve">министерства образования Новосибирской области                                                    </w:t>
            </w:r>
            <w:r>
              <w:rPr>
                <w:color w:val="auto"/>
                <w:sz w:val="28"/>
                <w:szCs w:val="20"/>
              </w:rPr>
            </w:r>
            <w:r>
              <w:rPr>
                <w:color w:val="auto"/>
                <w:sz w:val="28"/>
                <w:szCs w:val="20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Одрова Е.А.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7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Заместитель начальника – начальник отдела высшей школы и </w:t>
            </w:r>
            <w:r>
              <w:rPr>
                <w:sz w:val="28"/>
              </w:rPr>
              <w:t xml:space="preserve">развития педагогических кадров </w:t>
            </w:r>
            <w:r>
              <w:rPr>
                <w:sz w:val="28"/>
                <w:szCs w:val="28"/>
              </w:rPr>
              <w:t xml:space="preserve">управления молодежной политики министерства образования Новосибирской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7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Малина С.С.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7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7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Начальник организационно-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  <w:t xml:space="preserve">правового управления </w:t>
            </w:r>
            <w:r>
              <w:rPr>
                <w:sz w:val="28"/>
                <w:szCs w:val="28"/>
              </w:rPr>
              <w:t xml:space="preserve">министерства образования Новосибирской области</w:t>
            </w:r>
            <w:r>
              <w:rPr>
                <w:sz w:val="28"/>
              </w:rPr>
              <w:t xml:space="preserve">                  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866"/>
              <w:rPr>
                <w:color w:val="auto"/>
                <w:sz w:val="28"/>
                <w:szCs w:val="22"/>
              </w:rPr>
            </w:pPr>
            <w:r>
              <w:rPr>
                <w:color w:val="auto"/>
                <w:sz w:val="28"/>
                <w:szCs w:val="22"/>
              </w:rPr>
            </w:r>
            <w:r>
              <w:rPr>
                <w:color w:val="auto"/>
                <w:sz w:val="28"/>
                <w:szCs w:val="22"/>
              </w:rPr>
            </w:r>
            <w:r>
              <w:rPr>
                <w:color w:val="auto"/>
                <w:sz w:val="28"/>
                <w:szCs w:val="22"/>
              </w:rPr>
            </w:r>
          </w:p>
          <w:p>
            <w:pPr>
              <w:ind w:right="-17"/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Тарасик Т.М.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Рассылка: управление молодежной политики министерства образования Новосибирской области</w:t>
      </w:r>
      <w:r>
        <w:rPr>
          <w:sz w:val="28"/>
          <w:szCs w:val="28"/>
        </w:rPr>
        <w:t xml:space="preserve">, управление бюджетного процесса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+ 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контроль</w:t>
      </w:r>
      <w:r>
        <w:rPr>
          <w:sz w:val="28"/>
        </w:rPr>
      </w:r>
      <w:r>
        <w:rPr>
          <w:sz w:val="28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сайте Минобразования Новосибирской области и в ГИС НСО «Электронная демократия» 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«___»_________ по «__» ________ 20___ года </w:t>
      </w:r>
      <w:r>
        <w:rPr>
          <w:i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sz w:val="28"/>
        </w:rPr>
      </w:r>
      <w:r>
        <w:rPr>
          <w:sz w:val="28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для НПА: 1) Прокуратура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2) Главное Управление Министерства юстиции Российской Федерации по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3) Законодательное Собрание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4) Министерство юстиции Новосибирской области – 1 экз.;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5) Размещается на сайте Минобразования Ново</w:t>
      </w:r>
      <w:r>
        <w:rPr>
          <w:sz w:val="28"/>
        </w:rPr>
        <w:t xml:space="preserve">сибирской области;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hyperlink r:id="rId11" w:tooltip="http://www.nsopravo.ru" w:history="1">
        <w:r>
          <w:rPr>
            <w:rStyle w:val="865"/>
            <w:sz w:val="28"/>
            <w:szCs w:val="28"/>
          </w:rPr>
          <w:t xml:space="preserve">www.nsopravo.ru</w:t>
        </w:r>
      </w:hyperlink>
      <w:r>
        <w:rPr>
          <w:sz w:val="28"/>
        </w:rPr>
      </w:r>
      <w:r>
        <w:rPr>
          <w:sz w:val="28"/>
        </w:rPr>
      </w:r>
    </w:p>
    <w:p>
      <w:pPr>
        <w:jc w:val="both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</w:r>
      <w:r>
        <w:rPr>
          <w:color w:val="0000ff"/>
          <w:sz w:val="28"/>
          <w:szCs w:val="28"/>
          <w:u w:val="single"/>
        </w:rPr>
      </w:r>
      <w:r>
        <w:rPr>
          <w:color w:val="0000ff"/>
          <w:sz w:val="28"/>
          <w:szCs w:val="28"/>
          <w:u w:val="single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официальное размещение (опубликование) </w:t>
      </w:r>
      <w:hyperlink r:id="rId12" w:tooltip="http://www.pravo.gov.ru" w:history="1">
        <w:r>
          <w:rPr>
            <w:rStyle w:val="865"/>
            <w:sz w:val="28"/>
          </w:rPr>
          <w:t xml:space="preserve">www.pravo.gov.ru</w:t>
        </w:r>
      </w:hyperlink>
      <w:r>
        <w:rPr>
          <w:sz w:val="28"/>
        </w:rPr>
        <w:t xml:space="preserve">. 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continuous"/>
      <w:pgSz w:w="11906" w:h="16838" w:orient="portrait"/>
      <w:pgMar w:top="851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9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4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5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Title Char"/>
    <w:basedOn w:val="690"/>
    <w:link w:val="703"/>
    <w:uiPriority w:val="10"/>
    <w:rPr>
      <w:sz w:val="48"/>
      <w:szCs w:val="48"/>
    </w:rPr>
  </w:style>
  <w:style w:type="character" w:styleId="673">
    <w:name w:val="Subtitle Char"/>
    <w:basedOn w:val="690"/>
    <w:link w:val="705"/>
    <w:uiPriority w:val="11"/>
    <w:rPr>
      <w:sz w:val="24"/>
      <w:szCs w:val="24"/>
    </w:rPr>
  </w:style>
  <w:style w:type="character" w:styleId="674">
    <w:name w:val="Quote Char"/>
    <w:link w:val="707"/>
    <w:uiPriority w:val="29"/>
    <w:rPr>
      <w:i/>
    </w:rPr>
  </w:style>
  <w:style w:type="character" w:styleId="675">
    <w:name w:val="Intense Quote Char"/>
    <w:link w:val="709"/>
    <w:uiPriority w:val="30"/>
    <w:rPr>
      <w:i/>
    </w:rPr>
  </w:style>
  <w:style w:type="character" w:styleId="676">
    <w:name w:val="Header Char"/>
    <w:basedOn w:val="690"/>
    <w:link w:val="857"/>
    <w:uiPriority w:val="99"/>
  </w:style>
  <w:style w:type="character" w:styleId="677">
    <w:name w:val="Caption Char"/>
    <w:basedOn w:val="713"/>
    <w:link w:val="858"/>
    <w:uiPriority w:val="99"/>
  </w:style>
  <w:style w:type="character" w:styleId="678">
    <w:name w:val="Footnote Text Char"/>
    <w:link w:val="840"/>
    <w:uiPriority w:val="99"/>
    <w:rPr>
      <w:sz w:val="18"/>
    </w:rPr>
  </w:style>
  <w:style w:type="character" w:styleId="679">
    <w:name w:val="Endnote Text Char"/>
    <w:link w:val="843"/>
    <w:uiPriority w:val="99"/>
    <w:rPr>
      <w:sz w:val="20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693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682">
    <w:name w:val="Heading 2"/>
    <w:basedOn w:val="680"/>
    <w:next w:val="680"/>
    <w:link w:val="694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83">
    <w:name w:val="Heading 3"/>
    <w:basedOn w:val="680"/>
    <w:next w:val="680"/>
    <w:link w:val="695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Заголовок Знак"/>
    <w:basedOn w:val="690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basedOn w:val="690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Верхний колонтитул Знак"/>
    <w:basedOn w:val="690"/>
    <w:link w:val="857"/>
    <w:uiPriority w:val="99"/>
  </w:style>
  <w:style w:type="character" w:styleId="712" w:customStyle="1">
    <w:name w:val="Footer Char"/>
    <w:basedOn w:val="690"/>
    <w:uiPriority w:val="99"/>
  </w:style>
  <w:style w:type="paragraph" w:styleId="713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858"/>
    <w:uiPriority w:val="99"/>
  </w:style>
  <w:style w:type="table" w:styleId="715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0">
    <w:name w:val="footnote text"/>
    <w:basedOn w:val="680"/>
    <w:link w:val="841"/>
    <w:uiPriority w:val="99"/>
    <w:semiHidden/>
    <w:unhideWhenUsed/>
    <w:pPr>
      <w:spacing w:after="40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90"/>
    <w:uiPriority w:val="99"/>
    <w:unhideWhenUsed/>
    <w:rPr>
      <w:vertAlign w:val="superscript"/>
    </w:rPr>
  </w:style>
  <w:style w:type="paragraph" w:styleId="843">
    <w:name w:val="endnote text"/>
    <w:basedOn w:val="680"/>
    <w:link w:val="844"/>
    <w:uiPriority w:val="99"/>
    <w:semiHidden/>
    <w:unhideWhenUsed/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90"/>
    <w:uiPriority w:val="99"/>
    <w:semiHidden/>
    <w:unhideWhenUsed/>
    <w:rPr>
      <w:vertAlign w:val="superscript"/>
    </w:rPr>
  </w:style>
  <w:style w:type="paragraph" w:styleId="846">
    <w:name w:val="toc 1"/>
    <w:basedOn w:val="680"/>
    <w:next w:val="680"/>
    <w:uiPriority w:val="39"/>
    <w:unhideWhenUsed/>
    <w:pPr>
      <w:spacing w:after="57"/>
    </w:pPr>
  </w:style>
  <w:style w:type="paragraph" w:styleId="847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8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9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0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1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2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3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4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80"/>
    <w:next w:val="680"/>
    <w:uiPriority w:val="99"/>
    <w:unhideWhenUsed/>
  </w:style>
  <w:style w:type="paragraph" w:styleId="857">
    <w:name w:val="Header"/>
    <w:basedOn w:val="680"/>
    <w:link w:val="711"/>
    <w:pPr>
      <w:tabs>
        <w:tab w:val="center" w:pos="4677" w:leader="none"/>
        <w:tab w:val="right" w:pos="9355" w:leader="none"/>
      </w:tabs>
    </w:pPr>
  </w:style>
  <w:style w:type="paragraph" w:styleId="858">
    <w:name w:val="Footer"/>
    <w:basedOn w:val="680"/>
    <w:link w:val="714"/>
    <w:pPr>
      <w:tabs>
        <w:tab w:val="center" w:pos="4677" w:leader="none"/>
        <w:tab w:val="right" w:pos="9355" w:leader="none"/>
      </w:tabs>
    </w:pPr>
  </w:style>
  <w:style w:type="paragraph" w:styleId="859">
    <w:name w:val="Balloon Text"/>
    <w:basedOn w:val="680"/>
    <w:semiHidden/>
    <w:rPr>
      <w:rFonts w:ascii="Tahoma" w:hAnsi="Tahoma" w:cs="Tahoma"/>
      <w:sz w:val="16"/>
      <w:szCs w:val="16"/>
    </w:rPr>
  </w:style>
  <w:style w:type="table" w:styleId="860">
    <w:name w:val="Table Grid"/>
    <w:basedOn w:val="69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List Paragraph"/>
    <w:basedOn w:val="680"/>
    <w:uiPriority w:val="34"/>
    <w:qFormat/>
    <w:pPr>
      <w:contextualSpacing/>
      <w:ind w:left="720"/>
    </w:pPr>
  </w:style>
  <w:style w:type="character" w:styleId="862" w:customStyle="1">
    <w:name w:val="Основной текст с отступом Знак"/>
    <w:link w:val="863"/>
    <w:rPr>
      <w:rFonts w:ascii="Calibri" w:hAnsi="Calibri"/>
      <w:sz w:val="24"/>
      <w:szCs w:val="24"/>
    </w:rPr>
  </w:style>
  <w:style w:type="paragraph" w:styleId="863">
    <w:name w:val="Body Text Indent"/>
    <w:basedOn w:val="680"/>
    <w:link w:val="862"/>
    <w:pPr>
      <w:ind w:firstLine="540"/>
    </w:pPr>
    <w:rPr>
      <w:rFonts w:ascii="Calibri" w:hAnsi="Calibri"/>
      <w:sz w:val="24"/>
      <w:szCs w:val="24"/>
    </w:rPr>
  </w:style>
  <w:style w:type="character" w:styleId="864" w:customStyle="1">
    <w:name w:val="Основной текст с отступом Знак1"/>
    <w:basedOn w:val="690"/>
  </w:style>
  <w:style w:type="character" w:styleId="865">
    <w:name w:val="Hyperlink"/>
    <w:basedOn w:val="690"/>
    <w:unhideWhenUsed/>
    <w:rPr>
      <w:color w:val="0000ff" w:themeColor="hyperlink"/>
      <w:u w:val="single"/>
    </w:rPr>
  </w:style>
  <w:style w:type="paragraph" w:styleId="866" w:customStyle="1">
    <w:name w:val="Default"/>
    <w:rPr>
      <w:color w:val="000000"/>
      <w:sz w:val="24"/>
      <w:szCs w:val="24"/>
    </w:rPr>
  </w:style>
  <w:style w:type="paragraph" w:styleId="867" w:customStyle="1">
    <w:name w:val="Обычный (Интернет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http://www.nsopravo.ru" TargetMode="External"/><Relationship Id="rId12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4EBA-840A-4BE4-8B35-90F2BE66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ГлавУНО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Арина Ильинична</dc:creator>
  <cp:revision>26</cp:revision>
  <dcterms:created xsi:type="dcterms:W3CDTF">2022-04-13T07:10:00Z</dcterms:created>
  <dcterms:modified xsi:type="dcterms:W3CDTF">2024-04-02T07:17:09Z</dcterms:modified>
</cp:coreProperties>
</file>