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jc w:val="right"/>
        <w:widowControl w:val="off"/>
        <w:rPr>
          <w:bCs/>
          <w:highlight w:val="none"/>
        </w:rPr>
      </w:pPr>
      <w:r>
        <w:rPr>
          <w:bCs/>
          <w:highlight w:val="none"/>
        </w:rPr>
        <w:t xml:space="preserve">Проект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pStyle w:val="916"/>
        <w:jc w:val="right"/>
        <w:widowControl w:val="off"/>
        <w:rPr>
          <w:bCs/>
          <w:highlight w:val="none"/>
        </w:rPr>
      </w:pPr>
      <w:r>
        <w:rPr>
          <w:bCs/>
          <w:highlight w:val="none"/>
        </w:rPr>
        <w:t xml:space="preserve">постановлени</w:t>
      </w:r>
      <w:r>
        <w:rPr>
          <w:bCs/>
          <w:highlight w:val="none"/>
        </w:rPr>
        <w:t xml:space="preserve">я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Правительства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pStyle w:val="916"/>
        <w:jc w:val="right"/>
        <w:widowControl w:val="off"/>
        <w:rPr>
          <w:bCs/>
          <w:highlight w:val="none"/>
        </w:rPr>
      </w:pPr>
      <w:r>
        <w:rPr>
          <w:bCs/>
          <w:highlight w:val="none"/>
        </w:rPr>
        <w:t xml:space="preserve">Новосибирской области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pStyle w:val="916"/>
        <w:jc w:val="center"/>
        <w:spacing w:after="0" w:afterAutospacing="0" w:line="240" w:lineRule="auto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внесении изменений в постановление Правительства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16.02.2015 № 66-п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 о с т а н о в л я е 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16.02.2015 № 66-п «Об утверждении государственной программы Новосибирской области «Жилищно-коммунальное хозяйство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– постановление)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государственной программе Новосибирской области «Жилищно-коммунальное хозяйство Новосибирской области» 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Программа):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позиции «Объемы финансирования государственной программы»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раздела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«Паспорт государственной программы Новосибирской области «Жилищно-коммунальное хозяйство Новосибирской области»: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первом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99 641 688,7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«102 799 988,4»;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десятом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16 341 759,6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«17 052 972,9»;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одиннадцатом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15 871 775,4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«18 318 861,8».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разделе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IV. «Система основных мероприятий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14"/>
        <w:numPr>
          <w:ilvl w:val="0"/>
          <w:numId w:val="1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тридцать первом: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слово «подпрограммы» заменить на слово «подпрограмма»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«Благоустройство территорий населенных пунктов» исключить;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после абзаца тридцать первого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Государственным заказчиком подпрограммы «Благоустройство территорий населенных пунктов»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главным распорядителем бюджетных средств является министерство жилищно-коммунального хозяйства и энергетики Новосибирской области во взаимодействии с органами местного самоуправления муниципальных образований Новосибирской области и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Государственного казенного учреждения Новосибирской области «Проектная дирекция министерства жилищно-коммунального хозяйства и энергетики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приложении № 1 «Цели, задачи и целевые индикаторы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государственной программы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«Жилищно-коммунальное хозяйство Новосибирской области»: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14"/>
        <w:numPr>
          <w:ilvl w:val="0"/>
          <w:numId w:val="19"/>
        </w:num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 строке «Задача 1 подпрограммы государственной программы: развитие системы газос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набжения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позицию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22.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Количество построенных, запроектированных и приобретенных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»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W w:w="22194" w:type="dxa"/>
        <w:tblInd w:w="-22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72"/>
        <w:gridCol w:w="1465"/>
        <w:gridCol w:w="276"/>
        <w:gridCol w:w="553"/>
        <w:gridCol w:w="553"/>
        <w:gridCol w:w="415"/>
        <w:gridCol w:w="415"/>
        <w:gridCol w:w="553"/>
        <w:gridCol w:w="553"/>
        <w:gridCol w:w="415"/>
        <w:gridCol w:w="415"/>
        <w:gridCol w:w="415"/>
        <w:gridCol w:w="553"/>
        <w:gridCol w:w="415"/>
        <w:gridCol w:w="553"/>
        <w:gridCol w:w="553"/>
        <w:gridCol w:w="1206"/>
        <w:gridCol w:w="12618"/>
      </w:tblGrid>
      <w:tr>
        <w:trPr>
          <w:trHeight w:val="4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2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6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22.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Количество построенных, запроектированных и приобретенных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409,7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130,8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217,4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204,1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95,5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pStyle w:val="917"/>
              <w:ind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15,95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774,1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176,2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ежегодно, под объектом системы газоснабжения понимается газораспределительная сеть (высокого, среднего, низкого давления), исчисляемая в километрах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18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позицию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25. Количество построенных автомобильных газонаполнительных компрессорных станций (АГНКС)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»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W w:w="22194" w:type="dxa"/>
        <w:tblInd w:w="-22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72"/>
        <w:gridCol w:w="1465"/>
        <w:gridCol w:w="469"/>
        <w:gridCol w:w="359"/>
        <w:gridCol w:w="491"/>
        <w:gridCol w:w="477"/>
        <w:gridCol w:w="415"/>
        <w:gridCol w:w="553"/>
        <w:gridCol w:w="398"/>
        <w:gridCol w:w="425"/>
        <w:gridCol w:w="560"/>
        <w:gridCol w:w="432"/>
        <w:gridCol w:w="535"/>
        <w:gridCol w:w="415"/>
        <w:gridCol w:w="553"/>
        <w:gridCol w:w="553"/>
        <w:gridCol w:w="1204"/>
        <w:gridCol w:w="12618"/>
      </w:tblGrid>
      <w:tr>
        <w:trPr>
          <w:trHeight w:val="4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2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6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25. Количество построенных автомобильных газонаполнительных компрессорных станций (АГНКС)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ежегодно, плановые значения подлежат ежегодному уточнению (при формировании инвестиционных проектов ПАО "Газпром")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18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 позиции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27. Количество объектов систем водоснабжения, построенных (введенных в эксплуатацию) и реконструируемых в отчетном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» по строке «Задача 1 подпрограммы государственной программы: развитие и реконструкция систем водоснабжения в муниципальных образованиях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W w:w="22194" w:type="dxa"/>
        <w:tblInd w:w="-22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72"/>
        <w:gridCol w:w="1465"/>
        <w:gridCol w:w="469"/>
        <w:gridCol w:w="359"/>
        <w:gridCol w:w="491"/>
        <w:gridCol w:w="477"/>
        <w:gridCol w:w="415"/>
        <w:gridCol w:w="553"/>
        <w:gridCol w:w="398"/>
        <w:gridCol w:w="425"/>
        <w:gridCol w:w="560"/>
        <w:gridCol w:w="432"/>
        <w:gridCol w:w="535"/>
        <w:gridCol w:w="415"/>
        <w:gridCol w:w="553"/>
        <w:gridCol w:w="553"/>
        <w:gridCol w:w="1204"/>
        <w:gridCol w:w="12618"/>
      </w:tblGrid>
      <w:tr>
        <w:trPr>
          <w:trHeight w:val="4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2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6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27. Количество объектов систем водоснабжения, построенных (введенных в эксплуатацию) и реконструируемых в отчетном году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18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 позиции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32. Количество объектов систем водоотведения, построенных (введенных в эксплуатацию) и реконструированных в отчетном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» по строке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W w:w="22194" w:type="dxa"/>
        <w:tblInd w:w="-22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72"/>
        <w:gridCol w:w="1465"/>
        <w:gridCol w:w="469"/>
        <w:gridCol w:w="359"/>
        <w:gridCol w:w="491"/>
        <w:gridCol w:w="477"/>
        <w:gridCol w:w="415"/>
        <w:gridCol w:w="553"/>
        <w:gridCol w:w="398"/>
        <w:gridCol w:w="425"/>
        <w:gridCol w:w="560"/>
        <w:gridCol w:w="432"/>
        <w:gridCol w:w="535"/>
        <w:gridCol w:w="415"/>
        <w:gridCol w:w="553"/>
        <w:gridCol w:w="553"/>
        <w:gridCol w:w="1204"/>
        <w:gridCol w:w="12618"/>
      </w:tblGrid>
      <w:tr>
        <w:trPr>
          <w:trHeight w:val="4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2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6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32. Количество объектов систем водоотведения, построенных (введенных в эксплуатацию) и реконструированных в отчетном году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ежегодно с 2017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18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в строке «Задача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 подпрограммы государственной программы: обеспечение переселения граждан из помещений, признанных аварийными»: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позицию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37. Площадь аварийного жилья, подлежащая расселению в рамках подпрограммы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W w:w="22194" w:type="dxa"/>
        <w:tblInd w:w="-22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72"/>
        <w:gridCol w:w="942"/>
        <w:gridCol w:w="425"/>
        <w:gridCol w:w="283"/>
        <w:gridCol w:w="567"/>
        <w:gridCol w:w="567"/>
        <w:gridCol w:w="567"/>
        <w:gridCol w:w="567"/>
        <w:gridCol w:w="567"/>
        <w:gridCol w:w="567"/>
        <w:gridCol w:w="560"/>
        <w:gridCol w:w="574"/>
        <w:gridCol w:w="567"/>
        <w:gridCol w:w="567"/>
        <w:gridCol w:w="567"/>
        <w:gridCol w:w="567"/>
        <w:gridCol w:w="850"/>
        <w:gridCol w:w="12618"/>
      </w:tblGrid>
      <w:tr>
        <w:trPr>
          <w:trHeight w:val="4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2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37. Площадь аварийного жилья, подлежащая расселению в рамках подпрограммы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кв.м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10599,8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2040,8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9412,3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8507,4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9396,9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5737,1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5004,2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2338,58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3718,78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2286,25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2286,25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2286,25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18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позицию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38. Количество граждан, переселяемых из аварийных жилых домов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en-US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W w:w="22194" w:type="dxa"/>
        <w:tblInd w:w="-22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72"/>
        <w:gridCol w:w="942"/>
        <w:gridCol w:w="425"/>
        <w:gridCol w:w="283"/>
        <w:gridCol w:w="567"/>
        <w:gridCol w:w="567"/>
        <w:gridCol w:w="567"/>
        <w:gridCol w:w="567"/>
        <w:gridCol w:w="567"/>
        <w:gridCol w:w="567"/>
        <w:gridCol w:w="560"/>
        <w:gridCol w:w="574"/>
        <w:gridCol w:w="567"/>
        <w:gridCol w:w="567"/>
        <w:gridCol w:w="567"/>
        <w:gridCol w:w="567"/>
        <w:gridCol w:w="850"/>
        <w:gridCol w:w="12618"/>
      </w:tblGrid>
      <w:tr>
        <w:trPr>
          <w:trHeight w:val="4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2" w:type="dxa"/>
            <w:textDirection w:val="lrTb"/>
            <w:noWrap w:val="false"/>
          </w:tcPr>
          <w:p>
            <w:pPr>
              <w:ind w:left="-57" w:right="-57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38. Количество граждан, переселяемых из аварийных жилых домов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788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397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18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№ 2.1 к Программе «Основные мероприятия государственной программы Новосибирской области «Жилищно-коммунальное хозяйство Новосибирской области» изложить в редакции согласно приложению № 1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Приложение № 3 к Программе «Сводные финансовые затраты и налоговые расходы государственной программы Новосибирской области «Жилищно-коммунальное хозяйство Новосибирской области» изложить в редакции согласно приложению № 2 к настоящему постановлению.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 № 4 к Программе «Подпрограмма «Газификация» государственной программы Новосибирской области «Жилищно‒коммунальное хозяйство Новосибирской области» (далее – подпрограмма «Газификация»):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в разделе I «Паспорт подпрограммы государственной программы Новосибирской области»: 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позиции «Объемы финансирования подпрограммы (с расшифровкой по источникам и годам финансирования)»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первом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40 696 527,5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«42 139 184,9»;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десятом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6 027 514,3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«6 452 771,5»;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одиннадцатом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9 660 460,0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«10 677 860,2».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в позиции «Ожидаемые результаты реализации подпрограммы, выраженные в количественно измеримых показателях»: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четвертом цифры «1771,3» заменить цифрами «1786,05»;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шестом цифры «12» заменить цифрами «18»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№ 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подпрограмме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Газификация»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объектов, построенных и введенных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эксплуатацию с 1 января 2016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внести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пункт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66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709"/>
        <w:gridCol w:w="3118"/>
        <w:gridCol w:w="1417"/>
        <w:gridCol w:w="1599"/>
        <w:gridCol w:w="1944"/>
        <w:gridCol w:w="709"/>
        <w:gridCol w:w="473"/>
      </w:tblGrid>
      <w:tr>
        <w:trPr>
          <w:trHeight w:val="19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Газопровод межпоселковый р.п. Мошково - п. Красногорский - д. Кузнецовка - с. Ташара с отводом на с.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Новомошковское Мошковского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OS_0024618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54:18:000000:3529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44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 "Газпром межрегионгаз", ИНН 5003021311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767 исключить.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приложении № 5 к Программе «Подпрограмма «Чистая вода» государственной программы Новосибирской области «Жилищно-коммунальное хозяйство Новосибирской области»: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в разделе I «Паспорт подпрограммы государственной программы Новосибирской области»: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позиции «Объемы финансирования подпрограммы (с расшифровкой по источникам и годам финансирования)»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первом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17 592 494,3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«17 606 756,9»;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десятом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5 721 770,2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«4 411 346,6»;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одиннадцатом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2 448 995,4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«3 773 681,5».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 в позиции «Ожидаемые результаты реализации подпрограммы, выраженные в количественно измеримых показателях»: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в абзаце втором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154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» заменить цифрами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60»;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в абзаце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седьмом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цифр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«8»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заменить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цифр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ами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«9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8.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приложении № 6 к Программе «Подпрограмма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в разделе I «Паспорт подпрограммы государственной программы Новосибирской области»: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позиции «Объемы финансирования подпрограммы (с расшифровкой по ис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точникам и годам финансирования)»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первом цифры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31 105 578,7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цифрами «32 136 551,6»;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десятом цифры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2 817 605,1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цифрами «3 848 578,0»;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абзаце третьем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позиции «Ожидаемые результаты реализации подпрограммы, выраженные в количественно измеримых показателях»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цифры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4 190»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63 321,83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заменить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соответственно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цифрами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4 258»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63 616,61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втором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пункта 1.1. подраздела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Система основных мероприятий подпрограммы,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реализуемых с 2019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раздела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IV «Характеристика мероприятий подпрограммы»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слов «индивидуальные предприниматели»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добавить 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муниципальные бюджетные учреждения (далее – организации коммунального комплекса)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приложении № 7 к Программе «Подпрограмма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– подпрограмма)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1)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позицию «Объемы финансирования подпрограммы (с расшифровкой по источникам и годам финансирования)»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раздела I «Паспорт подпрограммы государственной программы Новосибирской области»: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первом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10 233 676,4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«10 904 083,1»;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десятом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1 772 870,0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«2 338 276,7»;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абзаце одиннадцатом цифры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979 170,4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 заменить цифрами «1 084 170,4».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пункте 1. подраздела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Система основных мероприятий подпрограммы,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реализуемых с 2019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раздела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IV «Характеристика мероприятий подпрограммы»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абзаца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двадцать первого 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редоставления и расходования субсидий местным бюджетам на 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дарственной программы Новосибирской области «Жилищно-коммунальное хозяйство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приведен в приложении № 26 к государственной программе.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Программе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предоставления и распределения субсидий местным бюджетам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реализацию мероприятий по проектированию и строительству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объектов газификации подпрограммы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Газификация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государственной программы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Жилищно-коммунальное хозяйство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внести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14"/>
        <w:numPr>
          <w:ilvl w:val="0"/>
          <w:numId w:val="1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3: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абзац третий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строительству объектов систем газоснабжения (высокого, среднего и низкого давления)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финансовый год и плановый период, а в отношении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проектирования объектов систем газоснабжения (высокого, среднего и низкого давления) - не менее 5%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расходного обязательства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абзацы четвертый и пятый признать утратившими силу;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4 после девятого абзаца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«з) 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аличие сметных расчетов на выполнение работ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газоснабжению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текущем уровне цен года реализации.»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дополнить подпункт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ами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заключени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муниципальных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контрактов по результатам закупки товаров, работ и услуг для обеспечения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муниципальных нужд в целях реализации муниципальных программ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апреля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года предоставления 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бсидии, за исключением случаев: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обжалования действий (бездействия) заказчика и (или) комиссии по осуществлению закупок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(или) оператора электронной площадки при осуществлении закупки товаров, работ, услуг в порядке, установленном законодательством Российской Фе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дерации, при которых срок заключения таких муниципальных контрактов продлевается на срок указанного обжалования;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проведения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муниципальных контрактов продлевается на срок проведения конкурсных процедур;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заклю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чения таких муниципальных контрактов в пределах экономии средств при расходовании субсидии в целях реализации муниципальных программ, при которых срок заключения таких муниципальных контрактов продлевается на срок до 15 декабря года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Неисполнение условия влечет уменьшение предусмотренных лимитов бюджетных ассигнований в размере не законтрактованных средств.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Условие распространяется на лимиты бюджетных ассигнований, доведенных до муниципального образования Новосибирской области не позднее 15 февраля, года предоставления субсидии;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12)</w:t>
      </w:r>
      <w:bookmarkStart w:id="0" w:name="undefined"/>
      <w:r>
        <w:rPr>
          <w:rFonts w:ascii="Times New Roman" w:hAnsi="Times New Roman" w:eastAsia="Times New Roman" w:cs="Times New Roman"/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аличие сметных расчетов на выполнение работ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газоснабжению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текущем уровне цен года реализации.».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приложении № 12 «Порядок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и распределения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субсидий местным бюджетам на реализацию мероприятий по строительству и реконструкции объектов централизованных систем холодного водоснабжения подпрограммы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Чистая вода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рограммы Новосибирской области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Жилищно-коммунальное хозяйство Новосибирской облас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1) пункт 2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«капитальный ремонт сетей (систем) водоснабжения в населенных пунктах.»;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2) в абзаце пятом пункта 4 слова «распоряжением Правительства Новосибирской области. Утвержденный Правительством Новосибирской области» заменить словами «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приказом министерства жилищно-коммунального хозяйства и энергетики Новосибирской области. Утвержденный министерством жилищно-коммунального хозяйства и энергетики Новосибирской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3) пункт 5 дополнить подпунктом 4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«4) в отношении мероприятий по научно-исследовательским и опытно-конструкторским разработкам: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научно-исследовательские и опытно-конструкторские разработки предназначены для получения новых результатов в области практического применения. Перечень научно-исследовательских и опытно-конструкторских разработок формируется министерством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выделяемых на указанные цели, на основании предложений, представляемых и согласованных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 Губернатором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К базовым критериям отбора относятся: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актуальность проблемы для территории муниципального образования;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 актуальность, востребованность результатов, масштабность воспроизведения инноваций;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заинтересованность муниципального образования в результатах, реальность многократного возврата (опосредованного) вложенных бюджетных средств за счет экономической, энергетической, экологической эффективности.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Пилотные муниципальные образования участники на территории которых будут осуществляться научно-исследовательские и опытно-конструкторские разработки устанавливаются приказом министерства жилищно-коммунального хозяйства и энергетики Новосибирской области.»;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строительству и реконструкции объектов централизованных систем холодного водоснабжения, включая разработку проектно-сметной документации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 в пункте 9: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в подпункте 4 в абзаце пятом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опий документов, подтверждающих наличие выполненных работ (унифицированных форм № КС-3 «Справка о стоимости выполненных работ и затрат», № КС-2 «Акт о приемке выполненных работ», утвержденных постановлением Государственного комитета Российской Федерации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статистике от 11.11.1999 № 100»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слова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счетов-фактур, товарно-транспортных накладных, унифицированной формы № ТОРГ-12 «Товарная накладная», утвержденной постановлением Государственного комитета Российской Федерации по статистике от 25.12.1998 № 132)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дополнить подпу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нктами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«10) обеспечение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проектов до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апреля года предоставления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Указанный срок может быть продлен до 1 июня года предоставления субсидии при согласовании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следующих случаях: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обжалования действий (бездействия) заказчика и (или) комиссии по осущест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контрактов продлевается на срок указанного обжалования;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проведения повторного конкурса или новой закупки, если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конкурс признан не состоявшимся по основаниям, предусмотренным законодательством Российской Федерации, при которых срок заключения таких контрактов продлевается на срок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конкурсных процедур.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исполнения работ, услуг, поставки товаров, устанавливаемый контрактами, в обязательном порядке предварительно согласовывается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казенным учреждением Новосибирской области «Проектная дирекция министерства жилищно-коммунального хозяйства и энергетики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11) справка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Государственного казенного учреждения Новосибирской области «Проектная дирекция министерства жилищно-коммунального хозяйства и энергетики Новосибирской области»,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подтверждающая объемы и правильность выполнения работ.»;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 после пункта 9 дополнить пунктом 9.1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«9.1. При реализации мероприятий указанных в пункте 4 настоящего порядка муниципальными образованиями организовывается постоянное взаимодействие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казенным учреждением Новосибирской области «Проектная дирекция министерства жилищно-коммунального хозяйства и энергетики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части организации строительного контроля и приемки выполненных работ.».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В приложении № 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и распределения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субсидий местным бюджетам на реализацию мероприятий по строительству и реконструкции объектов централизованных систем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водоотведения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Чистая вода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рограммы Новосибирской области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Жилищно-коммунальное хозяйство Новосибирской облас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ти»: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пункт 2 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«капитальный ремонт сетей (систем) водоотведения.»;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абзаце пятом пункта 4 слова «распоряжением Правительства Новосибирской области. Утвержденный Правительством Новосибирской области» заменить словами «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приказом министерства жилищно-коммунального хозяйства и энергетики Новосибирской области. Утвержденный министерством жилищно-коммунального хозяйства и энергетики Новосибирской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7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строительству и реконструкции объектов централизованных систем водоотведения, включая разработку проектно-сметной документации,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подпункте 4 в абзаце пятом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опий документов, подтверждающих наличие выполненных работ (унифицированных форм № КС-3 «Справка о стоимости выполненных работ и затрат», № КС-2 «Акт о приемке выполненных работ», утвержденных постановлением Государственного комитета Российской Федерации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статистике от 11.11.1999 № 100»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слова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счетов-фактур, товарно-транспортных накладных, унифицированной формы № ТОРГ-12 «Товарная накладная», утвержденной постановлением Государственного комитета Российской Федерации по статистике от 25.12.1998 № 132)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дополнить подпунктами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«9) обеспечение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проектов до 1 апреля года предоставления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Указанный срок может быть продлен до 1 июня года предоставления субсидии при согласовании министерством в следующих случаях: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обжалования действий (бездействия) заказчика и (или) комиссии по осущест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контрактов продлевается на срок указанного обжалования;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проведения повторного конкурса или новой закупки, если конкурс признан не состоявшимся по основаниям, предусмотренным законодательством Российской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Федерации, при которых срок заключения таких контрактов продлевается на срок проведения конкурсных процедур.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исполнения работ, услуг, поставки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товаров, устанавливаемый контрактами, в обязательном порядке предварительно согласовывается с Государственным казенным учреждением Новосибирской области «Проектная дирекция министерства жилищно-коммунального хозяйства и энергетики Новосибирской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10) справка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Государственного казенного учреждения Новосибирской области «Проектная дирекция министерства жилищно-коммунального хозяйства и энергетики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подтверждающая объемы и правильность выполнения работ.»;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после пункта 10 дополнить пунктом 10.1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«10.1. При реализации мероприятий указанных в пункте 2 настоящего порядка муниципальными образованиями организовывается постоянное взаимодействие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казенным учреждением Новосибирской области «Проектная дирекция министерства жилищно-коммунального хозяйства и энергетики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части организации строительного контроля и приемки в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ыполненных работ.».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7 приложения № 16 к Программе «Порядок предоставления и распределения субсидий местным бюджетам на реализацию мероприятий по обеспечению снабжения населения топливом </w:t>
      </w:r>
      <w:hyperlink r:id="rId12" w:tooltip="consultantplus://offline/ref=B607C812AB55AA1ACFDD82737E258C166EEE2BE40E4E334AAE9F4000A0E999FE467AEF7F8A690139CB5FA72D87FDDF8886B62460DD3174FE18C8DD8F06i1F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подпрограммы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снабжению населения топливом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14.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Пункт 7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приложения № 17 к Программе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«Порядок предоставления и распределения субсидий местным бюджетам на реализацию мероприятий по переселению граждан из аварийного жилищного фонда </w:t>
      </w:r>
      <w:hyperlink r:id="rId13" w:tooltip="consultantplus://offline/ref=748B0F4D39AAAE432AE3F663DBAF8F17CCE2911894A5FA3F38E9F5D4622ED00B6F3639BA4D581552930228DECDFFFC6E1DD720728ACDF5C5F72B5635wCC2I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  <w14:ligatures w14:val="none"/>
          </w:rPr>
          <w:t xml:space="preserve">подпрограммы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переселению граждан из аварийного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приложении №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 к Программе «Порядок предоставления и распределен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субсидий местным бюджетам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ласти «Жилищно-коммунальное хозяйство Новосибирской области»: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в подпункте 5 пункта 5: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«на проектную документацию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«Начиная с 2024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экспертное заключение государственной экспертизы на проектную документацию, предоставляется в отношении объектов благоустройства, при выполнении работ на которых затрагиваются элементы влияющие на безопасность использования общественных и дворовых территор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ий, за исключением объектов благоустройства при выполнении работ на которых не затрагиваются элементы влияющие на безопасность использования общественных и дворовых территорий. В отношении таких объектов предоставляется экспертное заключение государственно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экспертизы на достоверность сметного расчета.»;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в абзаце «в» подпункта 4 пункта 9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«на проектную документацию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дополнить подпунктами следующего содержания: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24)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аличие сметных расчетов, в рамках проектной документации, получившей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экспертное заключение государственной экспертизы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 на выполнение работ по благоустройству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текущем уровн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цен года реализации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25)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обеспечение: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начала работ по благоустройству не позднее 1 июня года предоставления субсидии;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выполнения работ не менее 30% от общего объема, предусмотренного в год предоставления субсидии не позднее 1 июля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года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завершения работ по благоустройству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позднее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1 ноября года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26) обеспечение финансирования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позднее 1 июля не менее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30% от общего объема субсидии, предоставляемой в текущем году;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позднее 1 августа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не менее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менее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60% от общего объема субсидии, предоставляемой в текущем году;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позднее 1 декабря 100%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от общего объема субсидии, предоставляемой в текущем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16.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 В приложении № 21 к Программе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и распределения субсидий местным бюджетам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обеспечение мероприятий по организации благоустройства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дворовых территорий многоквартирных домов, территорий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пользования подпрограммы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Благоустройство территорий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населенных пунктов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государственной программы Новосибирской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Жилищно-коммунальное хозяйство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4"/>
        <w:numPr>
          <w:ilvl w:val="0"/>
          <w:numId w:val="15"/>
        </w:numPr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первый подпункта 2 пункта 4 изложить в новой редакции: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«2)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образования, в целях софинансирования которых предоставляется субсидия,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пределах уровня софинансирования, предусмотренного распоряжением Правительства Новосибирской области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предельных уровнях софинансирования на очередной фи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нансовый год и плановый период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для каждого муниципального района, муниципального округа и городского округа.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в пункте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8: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«б» подпункта 4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«б)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копий экспертного заключения государственной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Экспертное заключение государственной экспертизы на проектную документацию, предоставляется в отношении объектов благоустройства, при выполнении работ на которых затрагиваются элементы влияющие на безопасность использования общественных и дворовых территор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ий, за исключением объектов благоустройства при выполнении работ на которых не затрагиваются элементы влияющие на безопасность использования общественных и дворовых территорий. В отношении таких объектов предоставляется экспертное заключение государственно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экспертизы на достоверность сметного расчета.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дополнить подпунктами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«8) заключение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муниципальных контрактов (договоров)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срок не позднее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 апреля года предоставления субсидии,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обжалован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действий (бездействия) заказчика и (или) комиссии по осуществлению закупок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проведения повторного конкурса или новой закупки, если конкурс признан не состоявшимся по основаниям, предусмотренным законодательством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Федерации, при которых срок заключения таких муниципальных контрактов продлевается на срок проведения конкурсных процедур;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заклю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чения таких муниципальных контрактов в пределах экономии средств при расходовании субсидии в целях реализации муниципальных программ, при которых срок заключения таких муниципальных контрактов продлевается на срок до 15 декабря года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Неисполнение условия влечет уменьшение предусмотренных лимитов бюджетных ассигнований в размере не законтрактованных средств.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Условие распространяется на лимиты бюджетных ассигнований, доведенных до муниципального образования Новосибирской области не позднее 15 февраля, года предоставления субсидии.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9) 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аличие сметных расчетов на выполнение работ по благоустройству в текущем уровне цен года реализации.».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17.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приложении № 22 к Программе «Порядок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и распределения субсидий местным бюджетам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мероприятий по организации функционирования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систем тепло-, водоснабжения населения и водоотведения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подпрограммы «Безопасность жилищно-коммунального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хозяйства»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«Жилищно-коммунальное хозяйство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первом пункта 4: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ресурсоснабжающих 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словами «организаций коммунального комплекса»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после слов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«отнесенными регулируемой организацией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«выплачиваемыми регулируемой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добавить слова «коммунального комплекса»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в пункте 5: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втором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ресурсоснабжающих 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словами «организаций коммунального комплекса»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исключить слова «далее - РСО»;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третьем абзаце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«РСО»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организаций 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четвертом абзаце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«РСО»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организациями 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3) в пункте 5.1: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подпунктах 1 и 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«предприятием»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заменить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словами «организацией 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подпункте 4 после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лов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регулируемой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анизацией» дополнить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подпункте 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«предприятия»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заменить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организации коммуна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подпункте 11 после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слов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регулируемой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дополнить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4) в пункте 5.2: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абзаце первом слова «РСО» заменить словами «организации коммунального комплекса»;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подпункте 1: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«теплоснабжающей организации» заменить словами «организации коммунального комплекса»;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после слов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 утвержденной учетной политикой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5)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пункте 5.3.: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абзаце первом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«РСО» заменить словами «организаций коммунального комплекса»;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во втором абзаце после слов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подписаны руководителем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 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главным бухгалтером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«предприятия»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заменить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организации 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во втором абзаце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«РСО» заменить словами «организации коммунального комплекса»;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6) в пункте 5.4: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а)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подпунктах 1 и 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слова «предприятием»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организацией 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б) в подпункте 2 после слов «в сетях организации»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одпункте 4 после слов «регулируемой организацией»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подпункте 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«предприятия»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организации 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подпункте 6 после слов «программы организации»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коммунального ком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подпункте 11 после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слов «регулируемой организации»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пункте 5.5: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первом слова «РСО»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«организации коммунального комплекса»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подпункте 1: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«ресурсоснабжающей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организации»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слов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утвержденной учетной политикой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организации»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8) в пункте 5.6: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первом слова «РСО»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«организаций коммунального комплекса»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втором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слов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подпис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аны руководителем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главным бухгалтером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«предприятия»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организации коммунального комплекса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«РСО»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«организации коммунального комплекса»</w:t>
      </w:r>
      <w:r>
        <w:rPr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9) абзац второй пункта 6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рганизации функционирования систем тепло-, водоснабжения населения и водоотведения в муниципальных образованиях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10)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в подпункте 1 пункта 9 слова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«(за исключением субсидий муниципальным учреждениям)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исключить</w:t>
      </w:r>
      <w:r>
        <w:rPr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В приложении № 23 к Программе «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предоставления и распределения субсидий на организацию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бесперебойной работы объектов тепло-, водоснабжения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и водоотведения в рамках подпрограммы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Безопасность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жилищно-коммунального хозяйства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государственной программы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Новосибирской облас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ти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Жилищно-коммунальное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хозяйство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»: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4"/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абзац второй пункта 6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Уровень софинансирования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организации бесперебойной работы объектов тепло-, водоснабжения и водоотведения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нансовый год и плановый период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подпункт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4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пункта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9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дополнить подпунктом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«е) при проведении капитального ремонта зданий котельных: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технических заключений по обследованию ответственных конструкций здания котельной (тех.освидетельствование);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сметных расчетов с экспертной оценкой (заключением) ГБУ НСО «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Государственная вневедомственная экспертиза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»;».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19.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приложении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24 к Программе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орядок предоставления и распределения субсидий на обеспечение мероприятий по оказанию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ктов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разработке проектной документации на благоустройство общественных пространств населенных пунктов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2) пункт 9 дополнить подпунктом 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«9) заключение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муниципальных контрактов (договоров)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в срок 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 апреля года предоставления субсидии, за исключением случаев: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- обжалования действий (бездействия) заказчика и (или) комиссии по осуществлению закупок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- проведения повторного конкурса или новой закупки, если конкурс признан не состоявшимся по основаниям, предусмотренным законодательством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Российской Федерации, при которых срок заключения таких муниципальных контрактов продлевается на срок проведения конкурсных процедур;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- заклю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чения таких муниципальных контрактов в пределах экономии средств при расходовании субсидии в целях реализации муниципальных программ, при которых срок заключения таких муниципальных контрактов продлевается на срок до 15 декабря года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Неисполнение условия влечет уменьшение предусмотренных лимитов бюджетных ассигнований в размере не законтрактованных средств.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Условие распространяется на лимиты бюджетных ассигнований, доведенных до муниципального образования Новосибирской области не позднее 15 февраля года предоставления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приложении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25 к Программе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орядок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редоставления и распределения субсидий местным бюджетам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 строительство и реконструкцию (модернизацию) объектов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питьевого водоснабжения (несофинансируемая часть расходов)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подпрограммы «Чистая вода»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государственной программы Новосибирской области «Жилищно-коммунальное хозяйство Новосибирской области»: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  <w:t xml:space="preserve">1) абзац третий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пункта 4 изложить в новой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Уровень софинансирования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Новосибирской областью объема расходных обязательств муниципальных образований, предусмотренный в целях содействия местным бюджетам в осуществлении полномочий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строительству и реконструкции (модернизации) объектов питьевого водоснабжения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устанавливается в пределах уровня софинансирования, предусмотренного распоряжением Правительства Новосибирской области о предельных уровнях софинансирования на очередной фи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Дополнить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Программу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№26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редоставления и расходования субсидий местным бюджетам на 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дарственной программы Новосибирской области «Жилищно-коммунальное хозяйство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согласно приложению 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к настоящему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Губернатор Новосибирской области                                                А.А. Травников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Д.Н. Архипов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238-61-56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СОГЛАСОВАНО: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00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6"/>
        <w:gridCol w:w="7"/>
        <w:gridCol w:w="2261"/>
        <w:gridCol w:w="7"/>
        <w:gridCol w:w="2402"/>
      </w:tblGrid>
      <w:tr>
        <w:trPr>
          <w:trHeight w:val="563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В.М. Знатков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515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С.Н. Сёмка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205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Заместитель Председателя Правительства Новосибирской области ‒ министр финансов и налоговой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В.Ю. Голубенко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625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инистр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Л.Н. Решетников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78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инистр юстиции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Т.Н. Деркач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894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инистр жилищно‒коммунального хозяйства и энергетики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Д.Н. Архипов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1142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ачальник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финансово-экономического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жилищно-коммунального хозяйства и энергетики Новосибирской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Т.С. Бусловская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1313"/>
        </w:trPr>
        <w:tc>
          <w:tcPr>
            <w:tcW w:w="5386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отдела организационно-правового и кадрового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tabs>
                <w:tab w:val="left" w:pos="124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жилищно-коммунального хозяйства и энергетики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С.Г. Чикинева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1076"/>
        </w:trPr>
        <w:tc>
          <w:tcPr>
            <w:gridSpan w:val="2"/>
            <w:tcW w:w="53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Консультант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министерства жилищно-коммунального хозяйства и энергетики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402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И.А. Шульга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И.Д. Бажина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238-76-18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0"/>
    <w:next w:val="910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0"/>
    <w:next w:val="910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0"/>
    <w:next w:val="910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basedOn w:val="9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6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7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8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9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0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1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0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1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2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3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4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5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>
    <w:name w:val="No Spacing"/>
    <w:basedOn w:val="910"/>
    <w:uiPriority w:val="1"/>
    <w:qFormat/>
    <w:pPr>
      <w:spacing w:after="0" w:line="240" w:lineRule="auto"/>
    </w:pPr>
  </w:style>
  <w:style w:type="paragraph" w:styleId="914">
    <w:name w:val="List Paragraph"/>
    <w:basedOn w:val="910"/>
    <w:uiPriority w:val="34"/>
    <w:qFormat/>
    <w:pPr>
      <w:contextualSpacing/>
      <w:ind w:left="720"/>
    </w:pPr>
  </w:style>
  <w:style w:type="character" w:styleId="915" w:default="1">
    <w:name w:val="Default Paragraph Font"/>
    <w:uiPriority w:val="1"/>
    <w:semiHidden/>
    <w:unhideWhenUsed/>
  </w:style>
  <w:style w:type="paragraph" w:styleId="916" w:customStyle="1">
    <w:name w:val="Body Text"/>
    <w:basedOn w:val="776"/>
    <w:link w:val="805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ConsPlusNormal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B607C812AB55AA1ACFDD82737E258C166EEE2BE40E4E334AAE9F4000A0E999FE467AEF7F8A690139CB5FA72D87FDDF8886B62460DD3174FE18C8DD8F06i1F" TargetMode="External"/><Relationship Id="rId13" Type="http://schemas.openxmlformats.org/officeDocument/2006/relationships/hyperlink" Target="consultantplus://offline/ref=748B0F4D39AAAE432AE3F663DBAF8F17CCE2911894A5FA3F38E9F5D4622ED00B6F3639BA4D581552930228DECDFFFC6E1DD720728ACDF5C5F72B5635wCC2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2023-12-06T11:47:50Z</dcterms:modified>
</cp:coreProperties>
</file>