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3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right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26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предоставления и расходования субсидий местным бюджетам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на реализацию мероприятий по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государственной программы Новосибирской области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Жилищно-коммунальное хозяйство Новосибирской области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>
        <w:rPr>
          <w:rFonts w:ascii="Times New Roman" w:hAnsi="Times New Roman" w:cs="Times New Roman"/>
          <w:b/>
          <w:highlight w:val="white"/>
        </w:rPr>
      </w:r>
    </w:p>
    <w:p>
      <w:pPr>
        <w:pStyle w:val="836"/>
        <w:ind w:firstLine="540"/>
        <w:jc w:val="both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расходования субсидий на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государственной программы Новосибирской области «Жилищно-коммун</w:t>
      </w:r>
      <w:r>
        <w:rPr>
          <w:rFonts w:ascii="Times New Roman" w:hAnsi="Times New Roman" w:cs="Times New Roman"/>
          <w:sz w:val="28"/>
          <w:szCs w:val="28"/>
        </w:rPr>
        <w:t xml:space="preserve">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регламентируют предоставление и расходование субсидий местным бюджетам городских поселений и го</w:t>
      </w:r>
      <w:r>
        <w:rPr>
          <w:rFonts w:ascii="Times New Roman" w:hAnsi="Times New Roman" w:cs="Times New Roman"/>
          <w:sz w:val="28"/>
          <w:szCs w:val="28"/>
        </w:rPr>
        <w:t xml:space="preserve">родских округов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государственной программы Новосибирской области «Жилищно-коммун</w:t>
      </w:r>
      <w:r>
        <w:rPr>
          <w:rFonts w:ascii="Times New Roman" w:hAnsi="Times New Roman" w:cs="Times New Roman"/>
          <w:sz w:val="28"/>
          <w:szCs w:val="28"/>
        </w:rPr>
        <w:t xml:space="preserve">альное хозяйство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II. Целевое назначение субсидий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P15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2. </w:t>
      </w:r>
      <w:r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</w:t>
      </w:r>
      <w:r>
        <w:rPr>
          <w:rFonts w:ascii="Times New Roman" w:hAnsi="Times New Roman" w:cs="Times New Roman"/>
          <w:sz w:val="28"/>
          <w:szCs w:val="28"/>
        </w:rPr>
        <w:t xml:space="preserve">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cs="Times New Roman"/>
          <w:sz w:val="28"/>
          <w:szCs w:val="28"/>
        </w:rPr>
        <w:t xml:space="preserve">Субсидии предоставляются местным бюджетам в пределах бюджетных ассигнований и лимитов бюджетных обязательств, установленных главному распорядителю бюджетных средств (далее - ГРБС) на соответствующий финансовый год и плановый период.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III. Порядок распределения субсидий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 учетом предельных уровней софинансирования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азмер субсидии, предоставляемой местному бюджету области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реализацию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рассчитывается по следующей формуле: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imo = 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i+C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соф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 где: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imo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размер субсидии, предоставляемой бюджету i-го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городского поселения и городского округа Новосибирской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софинансирования расходных обязательств, возникающих в связи 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реализацией мероприятий по созданию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расчетном году реализации подпрограммы;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пор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размера денежной премии за счет средств федерального бюджета, подлежащей предоставлению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i-му городскому поселению и городскому округу Новосибирской области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определенному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решением федеральной комиссии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по организации и проведению конкурса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(далее -федеральная конкурсная комиссия) о подведении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итогов конкурса, в соответствии с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равилами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утвержденными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Постановлением Правительства Российской Федерации от 07.03.2018 № 237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Правила проведения Всероссийского конкурса)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соф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объем софинансирования за счет областного бюджета Новосибирской области, рассчитанного в соответствии с абзацем 2 пункта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и распределения субсидий из федерального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бюджета, в том числе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которых являются бюджетные ассигнования резервного фонда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российской федерации, бюджетам субъектов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российской федерации на создание комфортной городской среды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муниципальных образованиях - победителях всероссийского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конкурса лучших проектов создания комфортной городской среды</w:t>
      </w:r>
      <w:r>
        <w:rPr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утвержденных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от 30.12.2017 № 1710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5. </w:t>
      </w:r>
      <w:bookmarkStart w:id="1" w:name="Par20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Критери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отбора муниципальных образований Новосибирской области (далее - получател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) для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является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решение федеральной конкурсной комиссии о подведении итогов конкурса, принятое в соответствии с Правилами проведения Всероссийского конкурса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, согласно которому муниципальное образование Новосибирской области определено победителем конкурса.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6. Распределение субсидии местным бюджетам устанавливается законом Новосибирской области об областном бюджете на соответствующий год и плановый период.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IV. Порядок предоставления субсидий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 Основанием для предоставления субсидии является соглашение о предоставлении субсидии, заключаемое между ГРБС и получателем, в соответствии с типовой формой, утвержденной приказом министерства финансов и налоговой политики Новосибирской области от 09.01.2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20 № 1</w:t>
        <w:noBreakHyphen/>
        <w:t xml:space="preserve">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 (далее - Соглашение). Соглашение заключается не позднее 30 календарного дня </w:t>
      </w:r>
      <w:r>
        <w:rPr>
          <w:rFonts w:ascii="Times New Roman" w:hAnsi="Times New Roman" w:cs="Times New Roman"/>
          <w:sz w:val="28"/>
          <w:szCs w:val="28"/>
        </w:rPr>
        <w:t xml:space="preserve">со дня доведения лимитов бюджетных обязательств министерством финансов и налоговой политики Новосибирской области до ГРБС.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Правительства Новосибирской области от 03.03.2020 № 40-п.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8. Предоставление субсидий осуществляется при соблюдении следующих условий: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наличие правовых актов получателей,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ш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софинансирования кот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представление получателями ГРБС следующих документов в сроки, установленные в соглашении о предоставлении субсидии: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а) заявок на предоставление субсидий;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 копии экспертного заключения государственной экспертизы проектной документации;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в) муниципальных контрактов (договоров), заключенных в соответствии с действующим законодательством Российской Федерации, направленных на достижение цели, установленной в пункте 2 настоящего Порядка;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документов, подтверждающих наличие выполненных работ (унифицированных форм № КС-3 «Справка о стоимости выполненных работ и затрат», № КС-2 «Акт о приемке выполненных работ», утвержденных постановлением Государственного комитета Российской Федерации по 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тистике от 11.11.1999 № 100, 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товаров, выполнение работ, оказание услуг в целях приобретения материалов, комплектующих изделий и оборудования;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 отсутствие в местном бюджете неиспользованного остатка субсидии, предоставленной ранее на аналогичные цели, в объеме более 5% от общего объема субсидии, запланированной к предоставлению в соответствующем финансовом году;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ой администрацией муниципального образования);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сокращение объема субсидии, в случае,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настоящим Порядком,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завершение реализации проекта не позднее 31 декабря года, следующего за годом предоставления субсидии;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соблюдение прилагаемого к соглашению графика реализации проекта, а также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ктов капитального строительства, в случае если строительство объектов капитального строительства предусмотрено проектом;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обеспечить в период производства работ на объекте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благоустройства установку системы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видеонаблюдения с последующей возможностью трансляции видеопотока через сеть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«Интернет» в режиме онлайн на сайт www.gorodsreda.ru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включение мероприятий, связанных с реализацией проекта, в муниципальную программу формирования комфортной городской среды.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9. ГРБС рассматривает представленную заявку на предоставление субсидий и принимает решение о предоставлении субсидии либо решение об отказе в предоставлении субсидии в течение 2 рабочих дней со дня ее представления.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Основанием для отказа в предоставлении субсидии является неисполнение условий предоставления субсидий, предусмотренных пунктом 8 настоящего Порядка.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0. В случае нарушения получателями условий предоставления субсидий, установленных пунктом 8 настоящего Порядка, ГРБС в течение одного рабочего дня со дня выявления нарушения направляет получателю уведомление об отказе в предоставлении субсидии с указанием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оснований для отказа.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 Перечисление субсидий из областного бюджета местному бюджету осуществляется в сроки, установленные в Соглашении, на основании заявок муниципальных образований, направляемых по форме, установленной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редоставление администрацией муниципального образования заявки, указанной в абзаце первом настоящего пункта, осуществляется при условии наличия неиспользованного остатка субсидий, предоставленных ранее на аналогичные цели, в объеме, не превышающем 5% от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щего объема субсидий, запланированных к предоставлению в соответствующем финансовом году, или его отсутствия.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 Условия расходования субсидий получателями: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расходов производится: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 лицевых счетов получателей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ельством, актов выполненных работ, товарно-транспортных накладных;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мативными правовыми актами муниципальных образований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V. Результаты использования субсидий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 Результатом использования субсидии является количество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реализованных проектов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победителей Всероссийского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конкурса лучших проектов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создания комфортной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городской среды в малых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городах и исторических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поселениях.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Значение показателя результата, указанного в настоящем пункте, устанавливается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center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VI. Порядок оценки эффективности использования субсидий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14. Оценка эффективности использования субсидии осуществляется ГРБС на основе отчета о достижении показателя результата использования субсидии, представляемого получателем в сроки, установленные в Соглашении.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Критерием оценки эффективности использования субсидии является достижение показателя результата использования субсидии, установленного в пункте 13 настоящего Порядка.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течение 30 календарных дней с момента представления получателем отчета о достижении показателя результата использования субсидии ГРБС готовит информацию о достижении (недостижении) получателем субсидии результата, указанного в пункте 13 настоящего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случае если в отчетном финансовом году получателем не достигнуто установленное Соглашением значение показателя результата использования субсидии, указанного в пункте 13 настоящего Порядка, либо нарушены обязательства по соблюдению уровня софинансирования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расходных обязательств муниципального образования, в целях софинансирования которых предоставляется субсидия, средства субсидии подлежат возврату в областной бюджет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N 40-п.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VII. Основания и порядок применения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 ответственности за нарушения условий соглашений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b/>
          <w:bCs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15. ГРБС и органы государственного финансового контроля Новосибирской области осуществляют обязательную проверку соблюдения условий, целей и порядка предоставления субсидий их получателями.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18. Получатели несут ответственность за недостижение результата использования субсидии в соответствии с Соглашением.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19. Получатель и ГРБС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revision>9</cp:revision>
  <dcterms:created xsi:type="dcterms:W3CDTF">2020-04-21T09:19:00Z</dcterms:created>
  <dcterms:modified xsi:type="dcterms:W3CDTF">2023-12-05T05:00:49Z</dcterms:modified>
</cp:coreProperties>
</file>