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от 14.09.2021 № 350-п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27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бластью</w:t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. 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Порядок предоставления из областного бюджета 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</w:t>
      </w:r>
      <w:r>
        <w:rPr>
          <w:rFonts w:ascii="Times New Roman" w:hAnsi="Times New Roman" w:cs="Times New Roman"/>
          <w:sz w:val="28"/>
          <w:szCs w:val="28"/>
        </w:rPr>
        <w:t xml:space="preserve">следований и поисковых научных исследований, проводимых Российским научным фондом и Новосибирской областью (далее – Порядок), разработан в соответствии с пунктом 4 статьи 78.1 Бюджетного кодекса Российской Федерации,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25.10.2023 № 1782 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</w:t>
      </w:r>
      <w:r>
        <w:rPr>
          <w:rFonts w:ascii="Times New Roman" w:hAnsi="Times New Roman" w:cs="Times New Roman"/>
          <w:sz w:val="28"/>
          <w:szCs w:val="28"/>
        </w:rPr>
        <w:t xml:space="preserve">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статьей 10 Закона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20.04.1995 № 17-ОЗ «О научной деятельности и научно-технической политике Новосибирской области», Соглашением о сотрудничестве в сфере поддержки фундаментальных научных исследований и поисковых научных исследований от 03.08.2021 № 28, заключенным между Рос</w:t>
      </w:r>
      <w:r>
        <w:rPr>
          <w:rFonts w:ascii="Times New Roman" w:hAnsi="Times New Roman" w:cs="Times New Roman"/>
          <w:sz w:val="28"/>
          <w:szCs w:val="28"/>
        </w:rPr>
        <w:t xml:space="preserve">сийским научным фондом и Новосибирской областью (далее – РНФ, Соглашение), и регламентирует процедуру предоставления из областного бюджета Новосибирской области (далее – областной бюджет) некоммерческим организациям, не являющимся казенными учреждениями, г</w:t>
      </w:r>
      <w:r>
        <w:rPr>
          <w:rFonts w:ascii="Times New Roman" w:hAnsi="Times New Roman" w:cs="Times New Roman"/>
          <w:sz w:val="28"/>
          <w:szCs w:val="28"/>
        </w:rPr>
        <w:t xml:space="preserve">рантов в форме субсидий (далее – Грант) на реализацию научных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получивших поддержку по результатам региональных конкурсов проектов фундаментальных научных исследований и поисковых научных исследований (далее – Проект), проводимых Российским научны</w:t>
      </w:r>
      <w:r>
        <w:rPr>
          <w:rFonts w:ascii="Times New Roman" w:hAnsi="Times New Roman" w:cs="Times New Roman"/>
          <w:sz w:val="28"/>
          <w:szCs w:val="28"/>
        </w:rPr>
        <w:t xml:space="preserve">м фондом и Новосибирской областью.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4147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2. В целях настоящего Порядка используются следующие понятия: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АИС – государственная информационная система Новосибирской области «Автоматизированная информационная система управления процессами оказания мер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(муниципальной) поддержки» в информационно-телекоммуникационной сети «Интернет» (http://gospoddergka.nso.ru);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– государственная программа Новосибирской области «Научно-технологическое развитие Новосибирской области», утвержденна</w:t>
      </w:r>
      <w:r>
        <w:rPr>
          <w:rFonts w:ascii="Times New Roman" w:hAnsi="Times New Roman" w:cs="Times New Roman"/>
          <w:sz w:val="28"/>
          <w:szCs w:val="28"/>
        </w:rPr>
        <w:t xml:space="preserve">я постановлением Правительства Новосибирской области от 31.12.2019 № 528-п «Об утверждении государственной программы Новосибирской области «Научно-технологическое развитие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конкурс(ы) – региональный(е) конкурс(ы) фундаментальных науч</w:t>
      </w:r>
      <w:r>
        <w:rPr>
          <w:rFonts w:ascii="Times New Roman" w:hAnsi="Times New Roman" w:cs="Times New Roman"/>
          <w:sz w:val="28"/>
          <w:szCs w:val="28"/>
        </w:rPr>
        <w:t xml:space="preserve">ных исследований и поисковых научных исследований, проводимый(е) РНФ и Новосибирской областью в рамках Соглашения в сроки, порядке и на условиях, определенных РНФ и Порядком;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документация – совокупность информации, необходимая потенциальным учас</w:t>
      </w:r>
      <w:r>
        <w:rPr>
          <w:rFonts w:ascii="Times New Roman" w:hAnsi="Times New Roman" w:cs="Times New Roman"/>
          <w:sz w:val="28"/>
          <w:szCs w:val="28"/>
        </w:rPr>
        <w:t xml:space="preserve">тникам для оформления и представления Проекта для участия в конкурсе, разработанная РНФ и размещенная на сайте РНФ в информационно-телекоммуникационной сети «Интернет» (далее – сеть «Интернет»);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региональная отраслевая задача – задача, решаема</w:t>
      </w:r>
      <w:r>
        <w:rPr>
          <w:rFonts w:ascii="Times New Roman" w:hAnsi="Times New Roman" w:cs="Times New Roman"/>
          <w:sz w:val="28"/>
          <w:szCs w:val="28"/>
        </w:rPr>
        <w:t xml:space="preserve">я путем выполнения фундаментальных научных исследований и (или) поисковых научных исследований, опытно-конструкторских и технологических работ, опытно-конструкторских разработок и предусматривающая последующее практическое использование их результатов 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в соответствующей отрасли исполнительным органом государственной власти Новосибирской области в интересах социально-экономического развития Новосибирской области, содержащаяся в Перечне приоритетных отраслевых задач, с учетом имеющихся компетенц</w:t>
      </w:r>
      <w:r>
        <w:rPr>
          <w:rFonts w:ascii="Times New Roman" w:hAnsi="Times New Roman" w:cs="Times New Roman"/>
          <w:sz w:val="28"/>
          <w:szCs w:val="28"/>
        </w:rPr>
        <w:t xml:space="preserve">ий научных и образовательных организаций высшего образования, расположенных на территории Новосибирской области, утвержденном Губернатором Новосибирской области от 15.05.2023;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– научный проект, предусматривающий проведение фундаментальных научных ис</w:t>
      </w:r>
      <w:r>
        <w:rPr>
          <w:rFonts w:ascii="Times New Roman" w:hAnsi="Times New Roman" w:cs="Times New Roman"/>
          <w:sz w:val="28"/>
          <w:szCs w:val="28"/>
        </w:rPr>
        <w:t xml:space="preserve">следований и поисковых научных исследований в целях эффективного использования и развития научного потенциала Новосибирской области, а также, при необходимости решения приоритетной региональной отраслевой задачи – проведение опытно-конструкторских и технол</w:t>
      </w:r>
      <w:r>
        <w:rPr>
          <w:rFonts w:ascii="Times New Roman" w:hAnsi="Times New Roman" w:cs="Times New Roman"/>
          <w:sz w:val="28"/>
          <w:szCs w:val="28"/>
        </w:rPr>
        <w:t xml:space="preserve">огических работ, опытно-конструкторских разработок, направленных на повышение уровня готовности к использованию перспективных и приоритетных наукоемких технологий;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квалифицированный заказчик – исполнительный орган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власти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сти, сформулировавший приоритетную региональную отраслевую задачу и имеющий право участвовать в координации работ по Проекту;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– некоммерческая организация, 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казенного учреждения, являющаяся научной организацией, расположенной на территории Новосибирской области, или образовательной организацией высшего образования, расположенной на территории Новосибирской области, представившая Проект на конкурс;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Грантополучатель – участник конкурса, признанный РНФ по результатам конкурса его победителем и предоставляющий средства Гранта после его получения в распоряжение руководителя научного коллектива для реализации Проекта на безвозмездной и безвозвратной осно</w:t>
      </w:r>
      <w:r>
        <w:rPr>
          <w:rFonts w:ascii="Times New Roman" w:hAnsi="Times New Roman" w:cs="Times New Roman"/>
          <w:sz w:val="28"/>
          <w:szCs w:val="28"/>
        </w:rPr>
        <w:t xml:space="preserve">ве в соответствии с Порядком;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ГИИС «Электронный бюджет» – государственная интегрированная информационная система управления общественными финансами «Электронный бюджет»;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ИАС РНФ – комплексная информационно-аналитическая система, специальная система сервера</w:t>
      </w:r>
      <w:r>
        <w:rPr>
          <w:rFonts w:ascii="Times New Roman" w:hAnsi="Times New Roman" w:cs="Times New Roman"/>
          <w:sz w:val="28"/>
          <w:szCs w:val="28"/>
        </w:rPr>
        <w:t xml:space="preserve"> РНФ, предназначенная для приема конкурсных заявок и отчетов по конкурсам РНФ через сеть «Интернет», осуществления экспертизы этих заявок, подготовки и размещения финансовых отчетов и решения других задач, возникающих при работе с проектами, финансируемыми</w:t>
      </w:r>
      <w:r>
        <w:rPr>
          <w:rFonts w:ascii="Times New Roman" w:hAnsi="Times New Roman" w:cs="Times New Roman"/>
          <w:sz w:val="28"/>
          <w:szCs w:val="28"/>
        </w:rPr>
        <w:t xml:space="preserve"> РНФ;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кабинет – персональная страница пользователя, доступная после авторизации в ИАС РНФ, используемая министерством науки и инновационной политики Новосибирской области с целью сопровождения участия Новосибирской области в конкурсах, в том числе д</w:t>
      </w:r>
      <w:r>
        <w:rPr>
          <w:rFonts w:ascii="Times New Roman" w:hAnsi="Times New Roman" w:cs="Times New Roman"/>
          <w:sz w:val="28"/>
          <w:szCs w:val="28"/>
        </w:rPr>
        <w:t xml:space="preserve">ля получения информации о поданных конкурсных заявках;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конкурсного отбора – порядок конкурсного отбора научных, научно-технических программ и проектов, представленных на конкурс Российского научного фонда, утвержденный попечительским советом РНФ (п</w:t>
      </w:r>
      <w:r>
        <w:rPr>
          <w:rFonts w:ascii="Times New Roman" w:hAnsi="Times New Roman" w:cs="Times New Roman"/>
          <w:sz w:val="28"/>
          <w:szCs w:val="28"/>
        </w:rPr>
        <w:t xml:space="preserve">ротокол № 19 от 04.10.2017), размещенный на официальном сайте РНФ в сети «Интернет» (https://www.rscf.ru);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конкурсного отбора – критерии конкурсного отбора научных, научно-технических программ и проектов, представленных на конкурс Российского науч</w:t>
      </w:r>
      <w:r>
        <w:rPr>
          <w:rFonts w:ascii="Times New Roman" w:hAnsi="Times New Roman" w:cs="Times New Roman"/>
          <w:sz w:val="28"/>
          <w:szCs w:val="28"/>
        </w:rPr>
        <w:t xml:space="preserve">ного фонда, размещенные на официальном сайте РНФ в сети «Интернет» (https://www.rscf.ru), в соответствии с Порядком конкурсного отбора, применяемые для определения победителей конкурса (Грантополучателей) на втором (федеральном этапе конкурса)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Порядком конкурсного отбора;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научных проектов, получивших поддержку по результатам региональных конкурсов проектов фундаментальных научных исследований и поисковых научных исследований – критерии оценки Проектов, применяемые при провед</w:t>
      </w:r>
      <w:r>
        <w:rPr>
          <w:rFonts w:ascii="Times New Roman" w:hAnsi="Times New Roman" w:cs="Times New Roman"/>
          <w:sz w:val="28"/>
          <w:szCs w:val="28"/>
        </w:rPr>
        <w:t xml:space="preserve">ении предварительной (региональной) экспертизы Проектов на первом (региональном) этапе конкурса в соответствии с Порядком и положением о конкурсной комиссии;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накладные расходы Грантополучателя – расходы, производимые </w:t>
      </w:r>
      <w:r>
        <w:rPr>
          <w:rFonts w:ascii="Times New Roman" w:hAnsi="Times New Roman" w:cs="Times New Roman"/>
          <w:sz w:val="28"/>
          <w:szCs w:val="28"/>
        </w:rPr>
        <w:t xml:space="preserve">Грантополучателем за счет средств Грант</w:t>
      </w:r>
      <w:r>
        <w:rPr>
          <w:rFonts w:ascii="Times New Roman" w:hAnsi="Times New Roman" w:cs="Times New Roman"/>
          <w:sz w:val="28"/>
          <w:szCs w:val="28"/>
        </w:rPr>
        <w:t xml:space="preserve">а, на цели, непосредственно связанные с созданием Грантополучателем необходимых условий для выполнения Проекта членами научного коллектива;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коллектив – коллектив лиц, состоящий из руководителя научного коллектива и членов научного коллектива, привл</w:t>
      </w:r>
      <w:r>
        <w:rPr>
          <w:rFonts w:ascii="Times New Roman" w:hAnsi="Times New Roman" w:cs="Times New Roman"/>
          <w:sz w:val="28"/>
          <w:szCs w:val="28"/>
        </w:rPr>
        <w:t xml:space="preserve">екаемый участником конкурса для реализации Проекта, все члены которого, включая руководителя научного коллектива: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состоят на время практической реализации Проекта в трудовых или гражданско - правовых отношениях с участником конкурса и соответствуют требова</w:t>
      </w:r>
      <w:r>
        <w:rPr>
          <w:rFonts w:ascii="Times New Roman" w:hAnsi="Times New Roman" w:cs="Times New Roman"/>
          <w:sz w:val="28"/>
          <w:szCs w:val="28"/>
        </w:rPr>
        <w:t xml:space="preserve">ниям к ним, установленным конкурсной документацией и Порядком;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практической реализации Проекта не могут принимать участие в реализации более двух проектов, поддерживаемых РНФ;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научными работниками (исследователями), участниками реализации Проекта и обладателями необходимой для реализации Проекта квалификацией;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научного коллектива не являются работниками Грантополучателя, в непосредственном административном подчине</w:t>
      </w:r>
      <w:r>
        <w:rPr>
          <w:rFonts w:ascii="Times New Roman" w:hAnsi="Times New Roman" w:cs="Times New Roman"/>
          <w:sz w:val="28"/>
          <w:szCs w:val="28"/>
        </w:rPr>
        <w:t xml:space="preserve">нии которых находится руководитель научного коллектива;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научного коллектива – физическое лицо, распоряжающееся средствами Гранта, полученными от Грантополучателя в целях реализации Проекта;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категории «вспомогательный персонал» – лица, сос</w:t>
      </w:r>
      <w:r>
        <w:rPr>
          <w:rFonts w:ascii="Times New Roman" w:hAnsi="Times New Roman" w:cs="Times New Roman"/>
          <w:sz w:val="28"/>
          <w:szCs w:val="28"/>
        </w:rPr>
        <w:t xml:space="preserve">тоящие в трудовых отношениях с участником конкурса и выполняющие работы по Проекту, связанные с обслуживанием оборудования и рабочих мест в производственных цехах, а также все рабочие вспомогательных цехов и хозяйств (слесари, сантехники, операторы копиров</w:t>
      </w:r>
      <w:r>
        <w:rPr>
          <w:rFonts w:ascii="Times New Roman" w:hAnsi="Times New Roman" w:cs="Times New Roman"/>
          <w:sz w:val="28"/>
          <w:szCs w:val="28"/>
        </w:rPr>
        <w:t xml:space="preserve">альных и множительных машин, плотники, подсобные рабочие, рабочие по комплексному обслуживанию и ремонту оборудования и т.п.), но не задействованные в процессе научно-исследовательских работ по проекту;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заявка – заявка на участие в конкурсе, ком</w:t>
      </w:r>
      <w:r>
        <w:rPr>
          <w:rFonts w:ascii="Times New Roman" w:hAnsi="Times New Roman" w:cs="Times New Roman"/>
          <w:sz w:val="28"/>
          <w:szCs w:val="28"/>
        </w:rPr>
        <w:t xml:space="preserve">плект документов на участие в конкурсе, оформляемый участником конкурса в ИАС РНФ и представляемый им в РНФ в соответствии с Порядком конкурсного отбора и конкурсной документацией;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– заявка на предоставление Гранта, комплект документов на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ение Гранта за счет средств областного бюджета, подаваемый участником конкурса на АИС или в министерство науки и инновационной политики Новосибирской области в соответствии с Порядком, по форме, утверждаемой приказом министерства науки и инновационной поли</w:t>
      </w:r>
      <w:r>
        <w:rPr>
          <w:rFonts w:ascii="Times New Roman" w:hAnsi="Times New Roman" w:cs="Times New Roman"/>
          <w:sz w:val="28"/>
          <w:szCs w:val="28"/>
        </w:rPr>
        <w:t xml:space="preserve">тики Новосибирской области.</w:t>
      </w:r>
      <w:r>
        <w:rPr>
          <w:rFonts w:ascii="Times New Roman" w:hAnsi="Times New Roman" w:cs="Times New Roman"/>
        </w:rPr>
      </w:r>
    </w:p>
    <w:p>
      <w:pPr>
        <w:pStyle w:val="88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Субсидии из областного бюджета Новосибирской области (далее соответственно – субсидии, областной бюджет) Фонду, зарегистрированному на территории Новосибирской области, предоставляются в целях реализации мероприятий государст</w:t>
      </w:r>
      <w:r>
        <w:rPr>
          <w:rFonts w:ascii="Times New Roman" w:hAnsi="Times New Roman"/>
          <w:sz w:val="28"/>
          <w:szCs w:val="28"/>
        </w:rPr>
        <w:t xml:space="preserve">венной программы, направленных на содействие субъектам научной деятельности в реализации проектов фундаментальных научных исследований и поисковых научных исследований</w:t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Областным исполнительным органом Новосибирской области, до которого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грантов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на цели,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3 Порядка, в рамках мероприятий государственной программы, является министерство науки и инновационной политики Новосибирской области (далее – МНиИП НСО).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Гранты предоставляются за счет средств областного бюджета Новосибирской области (далее – облас</w:t>
      </w:r>
      <w:r>
        <w:rPr>
          <w:rFonts w:ascii="Times New Roman" w:hAnsi="Times New Roman" w:cs="Times New Roman"/>
          <w:sz w:val="28"/>
          <w:szCs w:val="28"/>
        </w:rPr>
        <w:t xml:space="preserve">тной бюджет) в пределах бюджетных ассигнований и лимитов бюджетных обязательств, доведенных МНиИП НСО, в соответствии с порядком исполнения сводной бюджетной росписи областного бюджета.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/>
          <w:sz w:val="28"/>
          <w:szCs w:val="28"/>
        </w:rPr>
        <w:t xml:space="preserve">Способом предоставления Гранта является финансовое обеспечение затр</w:t>
      </w:r>
      <w:r>
        <w:rPr>
          <w:rFonts w:ascii="Times New Roman" w:hAnsi="Times New Roman"/>
          <w:sz w:val="28"/>
          <w:szCs w:val="28"/>
        </w:rPr>
        <w:t xml:space="preserve">ат </w:t>
      </w:r>
      <w:r>
        <w:rPr>
          <w:rFonts w:ascii="Times New Roman" w:hAnsi="Times New Roman" w:cs="Times New Roman"/>
          <w:sz w:val="28"/>
          <w:szCs w:val="28"/>
        </w:rPr>
        <w:t xml:space="preserve">Гранты предоставляются в целях финансового обеспечения затрат Грантополучателя, связанных с реализацией Проекта, в соответствии с направлениями расходов, источником финансового обеспечения которых является Грант, установленными в приложении № 3 к Порядк</w:t>
      </w:r>
      <w:r>
        <w:rPr>
          <w:rFonts w:ascii="Times New Roman" w:hAnsi="Times New Roman" w:cs="Times New Roman"/>
          <w:sz w:val="28"/>
          <w:szCs w:val="28"/>
        </w:rPr>
        <w:t xml:space="preserve">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Категории Грантополучателей: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некоммерческие организации, соответствующие установленному в пункте 2 Порядка понятию Грантополучателя, реализующие Проект, предусматривающий проведение фундаментальных научных исследований и (или) поисковых научных ис</w:t>
      </w:r>
      <w:r>
        <w:rPr>
          <w:rFonts w:ascii="Times New Roman" w:hAnsi="Times New Roman" w:cs="Times New Roman"/>
          <w:sz w:val="28"/>
          <w:szCs w:val="28"/>
        </w:rPr>
        <w:t xml:space="preserve">следований;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некоммерческие организации, соответствующие установленному в пункте 2 Порядка понятию Грантополучателя, реализующие Проект, направленный на решение приоритетной региональной отраслевой задачи.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Сведения о Грантах подлежат размещению на еди</w:t>
      </w:r>
      <w:r>
        <w:rPr>
          <w:rFonts w:ascii="Times New Roman" w:hAnsi="Times New Roman" w:cs="Times New Roman"/>
          <w:sz w:val="28"/>
          <w:szCs w:val="28"/>
        </w:rPr>
        <w:t xml:space="preserve">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/>
          <w:b/>
          <w:sz w:val="28"/>
          <w:szCs w:val="28"/>
        </w:rPr>
        <w:t xml:space="preserve">. Условия, порядок отбора и порядок предоставления Грантов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Способом проведения отбора Грантополучателей является конкурс, который проводится для определения победителей конкурса, исходя из критериев конкурсного отбора и наилучших условий достижения рез</w:t>
      </w:r>
      <w:r>
        <w:rPr>
          <w:rFonts w:ascii="Times New Roman" w:hAnsi="Times New Roman" w:cs="Times New Roman"/>
          <w:sz w:val="28"/>
          <w:szCs w:val="28"/>
        </w:rPr>
        <w:t xml:space="preserve">ультатов.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Конкурс проводится во взаимодействии между РНФ и Министерством в два этапа: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первый (региональный) этап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второй (федеральный) этап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для первого (регионального) этапа конкурса - Министерство;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для второго (федерального) этапа конкурса - РНФ.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информационными системами, обеспечивающими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– является АИС;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РНФ – является ИАС РНФ.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РНФ объявляет региональные конкурсы, о чем в соответствии с Порядком к</w:t>
      </w:r>
      <w:r>
        <w:rPr>
          <w:rFonts w:ascii="Times New Roman" w:hAnsi="Times New Roman" w:cs="Times New Roman"/>
          <w:sz w:val="28"/>
          <w:szCs w:val="28"/>
        </w:rPr>
        <w:t xml:space="preserve">онкурсного отбора размещает на официальном сайте РНФ в сети «Интернет» (https://www.rscf.ru) извещение о проведении конкурса и конкурсную документацию.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11. Министерство в соответствии с Соглашением, в случае принятия решения об участии в конкурсе: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в сро</w:t>
      </w:r>
      <w:r>
        <w:rPr>
          <w:rFonts w:ascii="Times New Roman" w:hAnsi="Times New Roman" w:cs="Times New Roman"/>
          <w:sz w:val="28"/>
          <w:szCs w:val="28"/>
        </w:rPr>
        <w:t xml:space="preserve">к до даты направления в РНФ письма, указанного в подпункте 2 настоящего пункта Порядка, формирует совместно с квалифицированными заказчиками перечень приоритетных региональных отраслевых задач, решаемых путем выполнения в рамках реализации Проектов за счет</w:t>
      </w:r>
      <w:r>
        <w:rPr>
          <w:rFonts w:ascii="Times New Roman" w:hAnsi="Times New Roman" w:cs="Times New Roman"/>
          <w:sz w:val="28"/>
          <w:szCs w:val="28"/>
        </w:rPr>
        <w:t xml:space="preserve"> Грантов, которые могут быть предоставлены по результатам конкурса, фундаментальных научных исследований и (или) поисковых научных исследований, опытно-конструкторских и технологических работ, опытно-конструкторских разработок, а также технические задания </w:t>
      </w:r>
      <w:r>
        <w:rPr>
          <w:rFonts w:ascii="Times New Roman" w:hAnsi="Times New Roman" w:cs="Times New Roman"/>
          <w:sz w:val="28"/>
          <w:szCs w:val="28"/>
        </w:rPr>
        <w:t xml:space="preserve">(технические условия или технические предложения) на выполнение в рамках реализации указанных Проектов опытно-конструкторских и технологических работ, опытно-конструкторских разработок.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не менее чем за 32 календарных дня до окончания срока подачи Заявок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РНФ письмо, в котором указывает: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наименование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планируемый объем средств, выделяемых для осуществления поддержки отобранных по результатам конкурса Проектов;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в) перечень приоритетных направлений исследований, поддерживаемых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областью;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г) перечень приоритетных региональных отраслевых задач, указанных в подпункте 1 настоящего пункта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д) технические задания (технические условия или технические предложения) на выполнение в рамках реализации Проектов опытно-конст</w:t>
      </w:r>
      <w:r>
        <w:rPr>
          <w:rFonts w:ascii="Times New Roman" w:hAnsi="Times New Roman" w:cs="Times New Roman"/>
          <w:sz w:val="28"/>
          <w:szCs w:val="28"/>
        </w:rPr>
        <w:t xml:space="preserve">рукторских и технологических работ, опытно-конструкторских разработок;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е) порядок финансирования поддержанных Проектов;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ж) установленные Порядком требования к участнику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12. Перечень приоритетных направлений исследований, поддерживаемых Новосибирской областью, сформирован с учетом наиболее актуальных и перспективных направлений развития науки и промышленности Новосибирской области и приведен в приложении № 1 к Порядку.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сроков проведения конкурса(ов), подготовка конкурсной документации осуществляются правлением РНФ в соответствии с Федеральным законом Российской Федерации от 02.11.2013 № 291-ФЗ «О Российском научном фонде и внесении изменений в отдельные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нодательные акты Российской Федерации» (далее - Закон 291-ФЗ) и Порядком конкурсного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14. Конкурсная документация размещается РНФ на официальном сайте РНФ (https://www.rscf.ru) в сети «Интернет» и включает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задачи</w:t>
      </w:r>
      <w:r>
        <w:rPr>
          <w:rFonts w:ascii="Times New Roman" w:hAnsi="Times New Roman" w:cs="Times New Roman"/>
          <w:sz w:val="28"/>
          <w:szCs w:val="28"/>
        </w:rPr>
        <w:t xml:space="preserve">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минимальный и максимальный размер денежных средств, выделяемых на реализацию Проекта;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4) указание на форму подачи конкурсной заявки на участие в конкурсе;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5) требования к участнику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6) требования к руководителю научного коллектива;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 перечень приоритетных направлений исследований Проектов, представляемых на конкурс;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8) требования к Проекту, представляемому на конкурс;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9) сроки реализации Проекта;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10) порядок подачи конкурсных заявок;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11) дата начала подачи конкурсных заявок на конкур</w:t>
      </w:r>
      <w:r>
        <w:rPr>
          <w:rFonts w:ascii="Times New Roman" w:hAnsi="Times New Roman" w:cs="Times New Roman"/>
          <w:sz w:val="28"/>
          <w:szCs w:val="28"/>
        </w:rPr>
        <w:t xml:space="preserve">с, дата окончания приема конкурсных заявок;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12) критерии конкурсного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13) порядок принятия решения правлением РНФ по определению победителей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15. Объявление о проведении конкурса размещается на едином портале и официальном сайте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(https://nauka.nso.ru) в сети «Интернет» (далее -официальный сайт Министерства) не менее чем за один календарный день до даты начала приема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16. В объявлении о проведении конкурса указываются: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сроки проведения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дата начала приема и </w:t>
      </w: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Заявок, которая не может быть ранее тридцатого календарного дня, следующего за днем размещения объявления о проведении конкурса. Указанные даты при этом должны устанавливаться в пределах сроков подачи конкурсных заявок в РНФ;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наиме</w:t>
      </w:r>
      <w:r>
        <w:rPr>
          <w:rFonts w:ascii="Times New Roman" w:hAnsi="Times New Roman" w:cs="Times New Roman"/>
          <w:sz w:val="28"/>
          <w:szCs w:val="28"/>
        </w:rPr>
        <w:t xml:space="preserve">нование, место нахождения, почтовый адрес, адрес электронной почты Министерства;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4) цели предоставления Гранта в соответствии с пунктом 3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5) результат предоставления Гранта, установленный в пункте 47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6) страница АИС, на которой обеспечивается прием Заявок и проведение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7) требования к участникам конкурса, а также перечень документов, представляемых ими для подтверждения их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8) порядок подачи Заявок участникам</w:t>
      </w:r>
      <w:r>
        <w:rPr>
          <w:rFonts w:ascii="Times New Roman" w:hAnsi="Times New Roman" w:cs="Times New Roman"/>
          <w:sz w:val="28"/>
          <w:szCs w:val="28"/>
        </w:rPr>
        <w:t xml:space="preserve">и конкурса и требований, предъявляемых к их форме и содержанию;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9) поряд</w:t>
      </w:r>
      <w:r>
        <w:rPr>
          <w:rFonts w:ascii="Times New Roman" w:hAnsi="Times New Roman" w:cs="Times New Roman"/>
          <w:sz w:val="28"/>
          <w:szCs w:val="28"/>
        </w:rPr>
        <w:t xml:space="preserve">ок отзыва Заявок участников конкурса, порядок возврата Заявок участников конкурса, определяющего в том числе основания для возврата Заявок участников конкурса, порядок внесения изменений в Заявки участников конкурса в соответствии с пунктами 21-23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10) порядок рассмотрения и оценки Заявок участников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11) 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12) срок, в течение которого Грантопо</w:t>
      </w:r>
      <w:r>
        <w:rPr>
          <w:rFonts w:ascii="Times New Roman" w:hAnsi="Times New Roman" w:cs="Times New Roman"/>
          <w:sz w:val="28"/>
          <w:szCs w:val="28"/>
        </w:rPr>
        <w:t xml:space="preserve">лучатель должен подписать соглашение о предоставлении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13) условия признания Грантополучателя уклонившимся от заключения соглашения о предоставлении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14) дату размещения результатов: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первого (регионального) этапа конкурса на официальном са</w:t>
      </w:r>
      <w:r>
        <w:rPr>
          <w:rFonts w:ascii="Times New Roman" w:hAnsi="Times New Roman" w:cs="Times New Roman"/>
          <w:sz w:val="28"/>
          <w:szCs w:val="28"/>
        </w:rPr>
        <w:t xml:space="preserve">йте Министерства, которая не может быть позднее пятого рабочего дня, следующего за  днем оформления его результатов в соответствии с подпунктом 2 пункта 29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конкурса на едином портале, а также на официальном сайте Министерства, которая не может </w:t>
      </w:r>
      <w:r>
        <w:rPr>
          <w:rFonts w:ascii="Times New Roman" w:hAnsi="Times New Roman" w:cs="Times New Roman"/>
          <w:sz w:val="28"/>
          <w:szCs w:val="28"/>
        </w:rPr>
        <w:t xml:space="preserve">быть позднее четырнадцатого календарного дня, следующего за днем определения победителей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15) сетевой адрес на официальном сайте РНФ (https://rfbr.ru) в сети «Интернет», на котором размещены указанные в пункте 10 Порядка извещение о проведении кон</w:t>
      </w:r>
      <w:r>
        <w:rPr>
          <w:rFonts w:ascii="Times New Roman" w:hAnsi="Times New Roman" w:cs="Times New Roman"/>
          <w:sz w:val="28"/>
          <w:szCs w:val="28"/>
        </w:rPr>
        <w:t xml:space="preserve">курса и конкурсная документация.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17. Требования к участникам конкурса: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по состоянию не ранее первого числа месяца подачи заявки участник конкурса: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не является иностранным юридическим лицом, в том числе местом регистрации которого является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или территория, включенные в 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</w:t>
      </w:r>
      <w:r>
        <w:rPr>
          <w:rFonts w:ascii="Times New Roman" w:hAnsi="Times New Roman" w:cs="Times New Roman"/>
          <w:sz w:val="28"/>
          <w:szCs w:val="28"/>
        </w:rPr>
        <w:t xml:space="preserve">ридическим лицом, в уставном (складочном) капитале которого доля прямого или косвенного (через третьих лиц) участия офшорных компаний в  совокупности превышает 25 процентов (если иное не предусмотрено законодательством Российской Федерации). При расчете до</w:t>
      </w:r>
      <w:r>
        <w:rPr>
          <w:rFonts w:ascii="Times New Roman" w:hAnsi="Times New Roman" w:cs="Times New Roman"/>
          <w:sz w:val="28"/>
          <w:szCs w:val="28"/>
        </w:rPr>
        <w:t xml:space="preserve">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 орг</w:t>
      </w:r>
      <w:r>
        <w:rPr>
          <w:rFonts w:ascii="Times New Roman" w:hAnsi="Times New Roman" w:cs="Times New Roman"/>
          <w:sz w:val="28"/>
          <w:szCs w:val="28"/>
        </w:rPr>
        <w:t xml:space="preserve">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не находится в перечне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в) не находится в составляемых в рамках реализации полномочий, предусмотренных главой VII Устава ООН, Советом Безопасности ООН или орга</w:t>
      </w:r>
      <w:r>
        <w:rPr>
          <w:rFonts w:ascii="Times New Roman" w:hAnsi="Times New Roman" w:cs="Times New Roman"/>
          <w:sz w:val="28"/>
          <w:szCs w:val="28"/>
        </w:rPr>
        <w:t xml:space="preserve">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г) не получает средства из областного бюдж</w:t>
      </w:r>
      <w:r>
        <w:rPr>
          <w:rFonts w:ascii="Times New Roman" w:hAnsi="Times New Roman" w:cs="Times New Roman"/>
          <w:sz w:val="28"/>
          <w:szCs w:val="28"/>
        </w:rPr>
        <w:t xml:space="preserve">ета на основании иных нормативных правовых актов на цели, указанные в пункте 3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д) 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е) 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</w:t>
      </w:r>
      <w:r>
        <w:rPr>
          <w:rFonts w:ascii="Times New Roman" w:hAnsi="Times New Roman" w:cs="Times New Roman"/>
          <w:sz w:val="28"/>
          <w:szCs w:val="28"/>
        </w:rPr>
        <w:t xml:space="preserve">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по состоянию не ранее первого числа месяца подачи заявки у участника конкурса: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а) на едином налоговом счете отсутствует или не превышает размер, определенный пунктом 3 стат</w:t>
      </w:r>
      <w:r>
        <w:rPr>
          <w:rFonts w:ascii="Times New Roman" w:hAnsi="Times New Roman"/>
          <w:sz w:val="28"/>
          <w:szCs w:val="28"/>
        </w:rPr>
        <w:t xml:space="preserve">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/>
          <w:sz w:val="28"/>
          <w:szCs w:val="28"/>
        </w:rPr>
        <w:t xml:space="preserve">отсутствует</w:t>
      </w:r>
      <w:r>
        <w:rPr>
          <w:rFonts w:ascii="Times New Roman" w:hAnsi="Times New Roman" w:cs="Arial"/>
          <w:sz w:val="28"/>
          <w:szCs w:val="28"/>
        </w:rPr>
        <w:t xml:space="preserve"> просроченная задолженность по возврату в областной бюджет иных субсидий, бюджетных и</w:t>
      </w:r>
      <w:r>
        <w:rPr>
          <w:rFonts w:ascii="Times New Roman" w:hAnsi="Times New Roman" w:cs="Arial"/>
          <w:sz w:val="28"/>
          <w:szCs w:val="28"/>
        </w:rPr>
        <w:t xml:space="preserve">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Arial"/>
          <w:sz w:val="28"/>
          <w:szCs w:val="28"/>
        </w:rPr>
        <w:t xml:space="preserve">в) в реестре дисквалифицированных лиц отсутствуют с</w:t>
      </w:r>
      <w:r>
        <w:rPr>
          <w:rFonts w:ascii="Times New Roman" w:hAnsi="Times New Roman" w:cs="Arial"/>
          <w:sz w:val="28"/>
          <w:szCs w:val="28"/>
        </w:rPr>
        <w:t xml:space="preserve">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участник конкурса соответствует требованиям к нему, установленными конкурсной документацией;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4) участник конкурса предоставил в РНФ конкурсную заявку в соответствии с подпунктом 1 пункта 18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5) участник конкурса обязан обеспечить: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ние научному коллективу для проведения научного исследования пригодное для работы помещение, а также доступ к имеющейся экспериментальной базе участника конкурса, на основании нормативного акта участника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реализацию Проекта в полном объеме, осу</w:t>
      </w:r>
      <w:r>
        <w:rPr>
          <w:rFonts w:ascii="Times New Roman" w:hAnsi="Times New Roman" w:cs="Times New Roman"/>
          <w:sz w:val="28"/>
          <w:szCs w:val="28"/>
        </w:rPr>
        <w:t xml:space="preserve">ществив затраты на цели предоставления Гранта в течение периода с даты подачи заявки до 31 декабря года предоставления Гранта, а в случае возникновения по состоянию на 1 января года, следующего за отчетным годом, неиспользованного остатка Гранта проинформи</w:t>
      </w:r>
      <w:r>
        <w:rPr>
          <w:rFonts w:ascii="Times New Roman" w:hAnsi="Times New Roman" w:cs="Times New Roman"/>
          <w:sz w:val="28"/>
          <w:szCs w:val="28"/>
        </w:rPr>
        <w:t xml:space="preserve">ровать Министерство, в целях принятия им решения в соответствии с пунктом 62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в) расходование средства Гранта после подписания соглашения о предоставлении гранта по заявкам руководителя научного коллектива в соответствии с настоящим Порядком и усло</w:t>
      </w:r>
      <w:r>
        <w:rPr>
          <w:rFonts w:ascii="Times New Roman" w:hAnsi="Times New Roman" w:cs="Times New Roman"/>
          <w:sz w:val="28"/>
          <w:szCs w:val="28"/>
        </w:rPr>
        <w:t xml:space="preserve">виями соглашения о предоставлении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г) прекращение расходования средств Гранта при возникновении обстоятельств, препятствующих и (или) свидетельствующих о нецелесообразности дальнейшей реализации Проекта, и 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о возникновен</w:t>
      </w:r>
      <w:r>
        <w:rPr>
          <w:rFonts w:ascii="Times New Roman" w:hAnsi="Times New Roman" w:cs="Times New Roman"/>
          <w:sz w:val="28"/>
          <w:szCs w:val="28"/>
        </w:rPr>
        <w:t xml:space="preserve">ии указанных обстоятельств в течение пяти рабочих дней со дня их возникновения;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д) установление приказом состава (изменения состава) научного коллектива, на основании письменного решения (заявки, визы) руководителя научного коллектива в течение 5 (пяти) ра</w:t>
      </w:r>
      <w:r>
        <w:rPr>
          <w:rFonts w:ascii="Times New Roman" w:hAnsi="Times New Roman" w:cs="Times New Roman"/>
          <w:sz w:val="28"/>
          <w:szCs w:val="28"/>
        </w:rPr>
        <w:t xml:space="preserve">бочих дней со дня его представления, осуществление контроля соответствия состава научного коллектива условиям соглашения о предоставлении гранта (в части запрета участия в реализации Проекта: ученого, в любом качестве принимающего участие в реализации двух</w:t>
      </w:r>
      <w:r>
        <w:rPr>
          <w:rFonts w:ascii="Times New Roman" w:hAnsi="Times New Roman" w:cs="Times New Roman"/>
          <w:sz w:val="28"/>
          <w:szCs w:val="28"/>
        </w:rPr>
        <w:t xml:space="preserve"> или более проектов РНФ;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работника организации, в непосредственном административном подчинении которого находится руководитель научного коллектива);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е) заключение с каждым из членов научного коллектива, в том числе с руководителем научного коллектива, граж</w:t>
      </w:r>
      <w:r>
        <w:rPr>
          <w:rFonts w:ascii="Times New Roman" w:hAnsi="Times New Roman" w:cs="Times New Roman"/>
          <w:sz w:val="28"/>
          <w:szCs w:val="28"/>
        </w:rPr>
        <w:t xml:space="preserve">данско-правовых или трудовых (срочных трудовых) договоров, если члены научного коллектива не состоят в гражданско-правовых или трудовых отношениях с участником конкурса. При необходимости - дополнение действующих гражданско-правовых или трудовых договоров </w:t>
      </w:r>
      <w:r>
        <w:rPr>
          <w:rFonts w:ascii="Times New Roman" w:hAnsi="Times New Roman" w:cs="Times New Roman"/>
          <w:sz w:val="28"/>
          <w:szCs w:val="28"/>
        </w:rPr>
        <w:t xml:space="preserve">с членами научного коллектива в соответствии с условиями соглашения о предоставлении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ж) выплату всем членам научного коллектива и лицам категории «вспомогательный персонал» вознаграждения за выполнение работ по Проекту за счет Гранта на основании п</w:t>
      </w:r>
      <w:r>
        <w:rPr>
          <w:rFonts w:ascii="Times New Roman" w:hAnsi="Times New Roman" w:cs="Times New Roman"/>
          <w:sz w:val="28"/>
          <w:szCs w:val="28"/>
        </w:rPr>
        <w:t xml:space="preserve">исьменного поручения (заявки, визы) руководителя научного коллектива, соблюдая при этом требования конкурсной документации;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з) ведение раздельного учета денежных операций, произведенных при использовании Гранта (включая учет накладных расходов Грантополуча</w:t>
      </w:r>
      <w:r>
        <w:rPr>
          <w:rFonts w:ascii="Times New Roman" w:hAnsi="Times New Roman" w:cs="Times New Roman"/>
          <w:sz w:val="28"/>
          <w:szCs w:val="28"/>
        </w:rPr>
        <w:t xml:space="preserve">теля);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и) преимущественное право Правительства Новосибирской области на использование результатов интеллектуальной деятельности, полученных по итогам реализации Проекта, в соответствии с законодательством Российской Федерации, в случае заинтересованности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Новосибирской области в таких результатах;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к) направление сведений о проведении научно-исследовательских, опытно-конструкторских и технологических работ гражданского назначения в Министерство науки и высшего образования Российской Федерации в </w:t>
      </w:r>
      <w:r>
        <w:rPr>
          <w:rFonts w:ascii="Times New Roman" w:hAnsi="Times New Roman" w:cs="Times New Roman"/>
          <w:sz w:val="28"/>
          <w:szCs w:val="28"/>
        </w:rPr>
        <w:t xml:space="preserve">порядке, предусмотренном постановлением Правительства Российской Федерации от 12.04.2013 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л) 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не более 10 процентов от средств Гранта в качестве накладных расходов Грантополучателя;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м) использование не более 15 процентов от средств Гранта на оплату научно-исследовательских работ сторонних организаций, выполненных в целях предоставления Гр</w:t>
      </w:r>
      <w:r>
        <w:rPr>
          <w:rFonts w:ascii="Times New Roman" w:hAnsi="Times New Roman" w:cs="Times New Roman"/>
          <w:sz w:val="28"/>
          <w:szCs w:val="28"/>
        </w:rPr>
        <w:t xml:space="preserve">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н) выполнение иных обязательств Грантополучателя, содержащихся в соглашении о предоставлении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6) участник конкурса соглашается на публикацию (размещение) в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информации о себе, о подаваемой им конкурсной заявке, иной общедоступно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информации об участнике конкурса, связанной с его участием в конкурсе.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Выполнение требования, определенного настоящим пунктом Порядка, осуществляется также в отношении победителей конкурса (Грантополучателей) в соответствии с подпунктом 1 пункта 32 Поряд</w:t>
      </w:r>
      <w:r>
        <w:rPr>
          <w:rFonts w:ascii="Times New Roman" w:hAnsi="Times New Roman" w:cs="Times New Roman"/>
          <w:sz w:val="28"/>
          <w:szCs w:val="28"/>
        </w:rPr>
        <w:t xml:space="preserve">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Соблюдение участником конкурса требований, предусмотренных подпунктами 1-2 настоящего пункта Порядка, устанавливается Министерством в соответствии с подпунктом 1 пункта 32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Соблюдение участником конкурса требований, предусмотренных подпунктами 3-4 настоящего пункта Порядка, устанавливается Министерством в соответствии с подпунктом 2 пункта 32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Соблюдение участником конкурса требований, предусмотренных подпунктами 4-5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 Порядка, обеспечивается заключением с  Грантополучателем соглашения о предоставлении гранта, которым устанавливается обязанность Грантополучателя исполнить указанные требования.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18. Участник конкурса в сроки, установленные РНФ в конкурсно</w:t>
      </w:r>
      <w:r>
        <w:rPr>
          <w:rFonts w:ascii="Times New Roman" w:hAnsi="Times New Roman" w:cs="Times New Roman"/>
          <w:sz w:val="28"/>
          <w:szCs w:val="28"/>
        </w:rPr>
        <w:t xml:space="preserve">й документации, а также указанные в объявлении о проведении конкурса: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для предоставления гранта за счет средств РНФ: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оформляет в ИАС РНФ конкурсную заявку и получает ее регистрационный номер;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предоставляет в РНФ на бумажном носителе распечатанный из ИАС РНФ один экземпляр конкурсной заявки и дополнительные материалы в соответствии с  конкурсной документацией, размещенной на официальном сайте РНФ (https://grant.rscf.ru);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Гранта за счет средств областного бюджета представляет в Министерство Заявку по форме, утверждаемой приказом Министерства, и включающей в том числе согласие на публикацию (размещение) в сети «Интернет» информации о подаваемой участником конкурса Заявке, и</w:t>
      </w:r>
      <w:r>
        <w:rPr>
          <w:rFonts w:ascii="Times New Roman" w:hAnsi="Times New Roman" w:cs="Times New Roman"/>
          <w:sz w:val="28"/>
          <w:szCs w:val="28"/>
        </w:rPr>
        <w:t xml:space="preserve">ной информации об участнике конкурса, связанной с соответствующим конкурсом, а также согласие на обработку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вправе представить в Министерство: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запроса (востребованности)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учных исследований со стороны реального сектора экономики и социальной сферы региона;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справку из налогового органа об отсутствии у него неисполненной обязанности по уплате налогов, сборов, страховых взносов, пеней, штрафов и процентов, подлежащих уплате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налогах и сборах (далее - справка налогового органа), по состоянию на дату не ранее первого числа месяца подачи Заявки. В случае если справка налогового органа не представлена, Министерство запрашивае</w:t>
      </w:r>
      <w:r>
        <w:rPr>
          <w:rFonts w:ascii="Times New Roman" w:hAnsi="Times New Roman" w:cs="Times New Roman"/>
          <w:sz w:val="28"/>
          <w:szCs w:val="28"/>
        </w:rPr>
        <w:t xml:space="preserve">т информацию об отсутствии у участника конкурса неисполненной обязанности по уплате налогов, сборов, страховых взносов, пеней, штрафов и процентов, подлежащих уплате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налогах и сборах, в рамках едино</w:t>
      </w:r>
      <w:r>
        <w:rPr>
          <w:rFonts w:ascii="Times New Roman" w:hAnsi="Times New Roman" w:cs="Times New Roman"/>
          <w:sz w:val="28"/>
          <w:szCs w:val="28"/>
        </w:rPr>
        <w:t xml:space="preserve">й системы межведомственного электронного взаимодействия (далее - СМЭВ).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19. Заявка подается участником конкурса в Министерство по своему выбору в электронном виде или на бумажном носителе путем: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размещения Заявки в электронном виде на АИС в разделе «Рег</w:t>
      </w:r>
      <w:r>
        <w:rPr>
          <w:rFonts w:ascii="Times New Roman" w:hAnsi="Times New Roman" w:cs="Times New Roman"/>
          <w:sz w:val="28"/>
          <w:szCs w:val="28"/>
        </w:rPr>
        <w:t xml:space="preserve">иональный конкурс проектов фундаментальных научных исследований, проводимый РНФ и Правительством Новосибирской области» в порядке, устанавливаемом в объявлении о проведении конкурса. Датой подачи Заявки считается дата, присвоенная Заявке на АИС;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подачи </w:t>
      </w:r>
      <w:r>
        <w:rPr>
          <w:rFonts w:ascii="Times New Roman" w:hAnsi="Times New Roman" w:cs="Times New Roman"/>
          <w:sz w:val="28"/>
          <w:szCs w:val="28"/>
        </w:rPr>
        <w:t xml:space="preserve">Заявки на бумажном носителе в Министерство, вложенной в  конверт с надписью: «На региональный конкурс РНФ», с указанием полного наименования заявителя, в одном экземпляре, а также ее копии на электронном носителе (в виде файлов в формате DOC или DOCХ или R</w:t>
      </w:r>
      <w:r>
        <w:rPr>
          <w:rFonts w:ascii="Times New Roman" w:hAnsi="Times New Roman" w:cs="Times New Roman"/>
          <w:sz w:val="28"/>
          <w:szCs w:val="28"/>
        </w:rPr>
        <w:t xml:space="preserve">TF, а также скан-копии подписанного документа в формате PDF). Содержание Заявки на бумажном и электронном носителе должно быть идентичным.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принимает и регистрирует поступившие Заявки в день их поступления, присваивая им порядковый номер по мер</w:t>
      </w:r>
      <w:r>
        <w:rPr>
          <w:rFonts w:ascii="Times New Roman" w:hAnsi="Times New Roman" w:cs="Times New Roman"/>
          <w:sz w:val="28"/>
          <w:szCs w:val="28"/>
        </w:rPr>
        <w:t xml:space="preserve">е их поступления. Датой подачи Заявки считается дата ее регистрации в Министерстве.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20. Участник конкурса в рамках одного конкурса вправе подать в  Министерство неограниченное количество Заявок при соблюдении им следующих условий: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одно физическое лицо м</w:t>
      </w:r>
      <w:r>
        <w:rPr>
          <w:rFonts w:ascii="Times New Roman" w:hAnsi="Times New Roman" w:cs="Times New Roman"/>
          <w:sz w:val="28"/>
          <w:szCs w:val="28"/>
        </w:rPr>
        <w:t xml:space="preserve">ожет быть заявлено в качестве руководителя научного коллектива только по одному Проекту;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различные Заявки не должны содержать аналогичных по содержанию Проектов.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21. Зарегистрированная для участия в конкурсе в соответствии с  подпунктом 2 пункта 18 Поря</w:t>
      </w:r>
      <w:r>
        <w:rPr>
          <w:rFonts w:ascii="Times New Roman" w:hAnsi="Times New Roman" w:cs="Times New Roman"/>
          <w:sz w:val="28"/>
          <w:szCs w:val="28"/>
        </w:rPr>
        <w:t xml:space="preserve">дка Заявка может быть отозвана участником конкурса до дня окончания срока подачи Заявок, указанного в объявлении о проведении конкурса, размещаемого Министерством в соответствии с пунктом 15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22. Поданная на бумажном носителе и отозванная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пунктом 21 Порядка Заявка может быть возвращена участнику конкурса по его письменному заявлению в Министерство до дня окончания подачи Заявок, указанного в объявлении о проведении конкурса, размещаемого Министерством в соответствии с пунктом 15 Пор</w:t>
      </w:r>
      <w:r>
        <w:rPr>
          <w:rFonts w:ascii="Times New Roman" w:hAnsi="Times New Roman" w:cs="Times New Roman"/>
          <w:sz w:val="28"/>
          <w:szCs w:val="28"/>
        </w:rPr>
        <w:t xml:space="preserve">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23. Заявка, представленная в соответствии с подпунктом 2 пункта 18 Порядка, не подлежит изменениям, корректировке, дополнениям.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24. РНФ в целях обеспечения участия Проектов в конкурсе проводит предварительный отбор конкурсных заявок, который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прием в ИАС РНФ электронных версий конкурсных заявок;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размещение в личном кабинете перечня поступивших на конкурс Проектов и электронных версий конкурсных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25. Первый (региональный) этап конкурса проводится с целью отбора Проектов для</w:t>
      </w:r>
      <w:r>
        <w:rPr>
          <w:rFonts w:ascii="Times New Roman" w:hAnsi="Times New Roman" w:cs="Times New Roman"/>
          <w:sz w:val="28"/>
          <w:szCs w:val="28"/>
        </w:rPr>
        <w:t xml:space="preserve"> их участия во втором (федеральном) этапе конкурса и включает в </w:t>
      </w:r>
      <w:r>
        <w:rPr>
          <w:rFonts w:ascii="Times New Roman" w:hAnsi="Times New Roman" w:cs="Times New Roman"/>
          <w:sz w:val="28"/>
          <w:szCs w:val="28"/>
        </w:rPr>
        <w:t xml:space="preserve">себя следующие мероприятия: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проверку Министерством Заявок на соответствие утвержденной форме, отсутствие оснований для отклонения Заявок, указанных в пункте 31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рассмотрение коми</w:t>
      </w:r>
      <w:r>
        <w:rPr>
          <w:rFonts w:ascii="Times New Roman" w:hAnsi="Times New Roman" w:cs="Times New Roman"/>
          <w:sz w:val="28"/>
          <w:szCs w:val="28"/>
        </w:rPr>
        <w:t xml:space="preserve">ссией, указанной в пункте 27 Порядка, в соответствии с положением о ней Проектов с целью выработки рекомендаций по участию Проектов во втором (федеральном) этапе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подготовка Министерством с учетов результатов мероприятий, указанных в подпунктах</w:t>
      </w:r>
      <w:r>
        <w:rPr>
          <w:rFonts w:ascii="Times New Roman" w:hAnsi="Times New Roman" w:cs="Times New Roman"/>
          <w:sz w:val="28"/>
          <w:szCs w:val="28"/>
        </w:rPr>
        <w:t xml:space="preserve"> 1 и 2 настоящего пункта Порядка, предложений по поддержке Проектов и направление их в РНФ.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26. Сроком окончания регионального этапа конкурса считается день направления Министерством в РНФ предложений по поддержке Проектов.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27. Министерство своим приказом </w:t>
      </w:r>
      <w:r>
        <w:rPr>
          <w:rFonts w:ascii="Times New Roman" w:hAnsi="Times New Roman" w:cs="Times New Roman"/>
          <w:sz w:val="28"/>
          <w:szCs w:val="28"/>
        </w:rPr>
        <w:t xml:space="preserve">создает конкурсную комиссию по проведению первого (регионального) этапа конкурса (далее - комиссия), утверждает ее состав и положение о 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члены общественного совета при Министерстве, представители Министерства, ведущие ученые и специалисты организаций научной, образовательной и инновационной сфер деятельности, расположенных на территории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 Министерство: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принимает и регистрирует поступившие от участников конкурса Заявки в день их поступления;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направляет в комиссию перечень поступивших на конкурс Проектов с приложением электронных версий конкурсных заявок для проведения (региональной) </w:t>
      </w:r>
      <w:r>
        <w:rPr>
          <w:rFonts w:ascii="Times New Roman" w:hAnsi="Times New Roman" w:cs="Times New Roman"/>
          <w:sz w:val="28"/>
          <w:szCs w:val="28"/>
        </w:rPr>
        <w:t xml:space="preserve">экспертизы Проектов, указанных в конкурсных заявках;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проводит указанную в подпункте 1 пункта 25 Порядка проверку Заявок в течение двенадцати рабочих дней со дня, следующего за днем окончания действий, указанных в подпункте 1 настоящего пункта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направляет в комиссию результаты проверки Заявок, указанной в  подпункте 3 настоящего пункта Порядка, для подготовки предложений по участию Проектов во втором (федеральном) этапе конкурса в соответствии с подпунктом 2 пункта 29 Порядка не позднее следующ</w:t>
      </w:r>
      <w:r>
        <w:rPr>
          <w:rFonts w:ascii="Times New Roman" w:hAnsi="Times New Roman" w:cs="Times New Roman"/>
          <w:sz w:val="28"/>
          <w:szCs w:val="28"/>
        </w:rPr>
        <w:t xml:space="preserve">его рабочего дня за днем окончания указанной проверки;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5) направляет в РНФ официальным письмом по электронным средствам связи предложения по поддержке Проектов за счет средств областного бюджета, подготовленные в соответствии с решениями комиссии, указанны</w:t>
      </w:r>
      <w:r>
        <w:rPr>
          <w:rFonts w:ascii="Times New Roman" w:hAnsi="Times New Roman" w:cs="Times New Roman"/>
          <w:sz w:val="28"/>
          <w:szCs w:val="28"/>
        </w:rPr>
        <w:t xml:space="preserve">ми в абзаце «а» подпункта 2 пункта 29 Порядка, в течение двух рабочих дней со дня получения протокола комиссии, указанного абзаце «в» подпункта 2 пункта 29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6) размещает протокол комиссии, указанный в абзаце «в» подпункта 2 пункта 29 Порядка, на ед</w:t>
      </w:r>
      <w:r>
        <w:rPr>
          <w:rFonts w:ascii="Times New Roman" w:hAnsi="Times New Roman" w:cs="Times New Roman"/>
          <w:sz w:val="28"/>
          <w:szCs w:val="28"/>
        </w:rPr>
        <w:t xml:space="preserve">ином портале и официальном сайте Министерства в сети «Интернет» в течение семи рабочих дней, со дня принятия комиссией решений, указанных в подпункте 2 пункта 29 Порядка. Протокол комиссии включает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оценки конкурсных </w:t>
      </w:r>
      <w:r>
        <w:rPr>
          <w:rFonts w:ascii="Times New Roman" w:hAnsi="Times New Roman" w:cs="Times New Roman"/>
          <w:sz w:val="28"/>
          <w:szCs w:val="28"/>
        </w:rPr>
        <w:t xml:space="preserve">заявок комиссией;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конкурса, конкурсные заявки которых были рассмотрены;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конкурса, конкурсные заявки которых были отклонены, с указанием причин их отклонения, в том числе положений объявления о проведении ко</w:t>
      </w:r>
      <w:r>
        <w:rPr>
          <w:rFonts w:ascii="Times New Roman" w:hAnsi="Times New Roman" w:cs="Times New Roman"/>
          <w:sz w:val="28"/>
          <w:szCs w:val="28"/>
        </w:rPr>
        <w:t xml:space="preserve">нкурса, которым не соответствуют такие конкурсные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оценки конкурсных заявок участников конкурса, присвоенные конкурсным заявкам значения по каждому из предусмотренных критериев оценки конкурсных заявок, принятое на основании резул</w:t>
      </w:r>
      <w:r>
        <w:rPr>
          <w:rFonts w:ascii="Times New Roman" w:hAnsi="Times New Roman" w:cs="Times New Roman"/>
          <w:sz w:val="28"/>
          <w:szCs w:val="28"/>
        </w:rPr>
        <w:t xml:space="preserve">ьтатов оценки указанных конкурсных заявок решение о присвоении таким конкурсным заявкам порядковых номеров;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наименования участников конкурса, прошедших первый (региональный) этап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29. Комиссия в соответствии с положением о ней: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в течение четырн</w:t>
      </w:r>
      <w:r>
        <w:rPr>
          <w:rFonts w:ascii="Times New Roman" w:hAnsi="Times New Roman" w:cs="Times New Roman"/>
          <w:sz w:val="28"/>
          <w:szCs w:val="28"/>
        </w:rPr>
        <w:t xml:space="preserve">адцати рабочих дней со дня получения документов, указанных в подпункте 2 пункта 28 Порядка, оценивает конкурсные заявки по баллам путем проведения предварительной (региональной) экспертизы Проектов, указанных в конкурсных заявках, в соответствии с критерия</w:t>
      </w:r>
      <w:r>
        <w:rPr>
          <w:rFonts w:ascii="Times New Roman" w:hAnsi="Times New Roman" w:cs="Times New Roman"/>
          <w:sz w:val="28"/>
          <w:szCs w:val="28"/>
        </w:rPr>
        <w:t xml:space="preserve">ми оценки научных проектов, получивших поддержку по результатам региональных конкурсов проектов фундаментальных научных исследований и поисковых научных исследований, установленными в приложении № 2 к Порядку;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не позднее трех рабочих дней со дня окончан</w:t>
      </w:r>
      <w:r>
        <w:rPr>
          <w:rFonts w:ascii="Times New Roman" w:hAnsi="Times New Roman" w:cs="Times New Roman"/>
          <w:sz w:val="28"/>
          <w:szCs w:val="28"/>
        </w:rPr>
        <w:t xml:space="preserve">ия предварительной (региональной) экспертизы Проектов, с учетом ее результатов и результатов указанной в подпункте 1 пункта 25 Порядка проверки Заявок, на заседании комиссии: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определяет Проекты, прошедшие первый (региональный) этап конкурса и рекомендует их к участию во втором (федеральном) этапе конкурса с указанием причин своего решения, сформулированных в соответствии с абзацем пятым пункта 30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определяет Проек</w:t>
      </w:r>
      <w:r>
        <w:rPr>
          <w:rFonts w:ascii="Times New Roman" w:hAnsi="Times New Roman" w:cs="Times New Roman"/>
          <w:sz w:val="28"/>
          <w:szCs w:val="28"/>
        </w:rPr>
        <w:t xml:space="preserve">ты, не прошедшие первый (региональный) этап конкурса, и не рекомендует их к участию во втором (федеральном) этапе конкурса с указанием причин своего решения, сформулированных в соответствии с абзацем шестым пункта 30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в) оформляет решения, указанны</w:t>
      </w:r>
      <w:r>
        <w:rPr>
          <w:rFonts w:ascii="Times New Roman" w:hAnsi="Times New Roman" w:cs="Times New Roman"/>
          <w:sz w:val="28"/>
          <w:szCs w:val="28"/>
        </w:rPr>
        <w:t xml:space="preserve">е в абзацах «а» и «б» подпункта 2 настоящего пункта Порядка, протоколом заседания комиссии, копию которого направляет в Министерство.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30. Итоговое количество баллов, набранных Проектом (предельное значение равно 100 баллам) по результатам проведения предва</w:t>
      </w:r>
      <w:r>
        <w:rPr>
          <w:rFonts w:ascii="Times New Roman" w:hAnsi="Times New Roman" w:cs="Times New Roman"/>
          <w:sz w:val="28"/>
          <w:szCs w:val="28"/>
        </w:rPr>
        <w:t xml:space="preserve">рительной (региональной) экспертизы Проектов, указанных в конкурсных заявках, определяется как среднее арифметическое от суммы баллов по всем критериям оценки научных проектов (с округлением до сотых) и устанавливается в общем рейтинге.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Проекту, набравшему</w:t>
      </w:r>
      <w:r>
        <w:rPr>
          <w:rFonts w:ascii="Times New Roman" w:hAnsi="Times New Roman" w:cs="Times New Roman"/>
          <w:sz w:val="28"/>
          <w:szCs w:val="28"/>
        </w:rPr>
        <w:t xml:space="preserve"> наибольшее итоговое количество баллов, присваивается первый номер в общем рейтинге, далее номера в общем рейтинге присваиваются в зависимости от набранных баллов.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баллов Проекту присваивается меньший номер в общем рейтинге, если конкурсная з</w:t>
      </w:r>
      <w:r>
        <w:rPr>
          <w:rFonts w:ascii="Times New Roman" w:hAnsi="Times New Roman" w:cs="Times New Roman"/>
          <w:sz w:val="28"/>
          <w:szCs w:val="28"/>
        </w:rPr>
        <w:t xml:space="preserve">аявка, в которой он указан, имеет меньший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в ИАС РНФ.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первый (региональный) этап конкурса поступил только один Проект, то он рассматривается комиссией на общих основаниях.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Проекты, которые набрали не менее 75 баллов (п</w:t>
      </w:r>
      <w:r>
        <w:rPr>
          <w:rFonts w:ascii="Times New Roman" w:hAnsi="Times New Roman" w:cs="Times New Roman"/>
          <w:sz w:val="28"/>
          <w:szCs w:val="28"/>
        </w:rPr>
        <w:t xml:space="preserve">роходной балл), и в отношении конкурсных заявок, в которых эти Проекты указаны, отсутствуют установленные в пункте 31 Порядка основания для отклонения Заявок, считаются прошедшими первый (региональный) этап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Проекты, которые н</w:t>
      </w:r>
      <w:r>
        <w:rPr>
          <w:rFonts w:ascii="Times New Roman" w:hAnsi="Times New Roman" w:cs="Times New Roman"/>
          <w:sz w:val="28"/>
          <w:szCs w:val="28"/>
        </w:rPr>
        <w:t xml:space="preserve">абрали менее 75 баллов (проходной балл), и в отношении конкурсных заявок, в которых эти Проекты указаны, имеется хотя бы одно из установленных в пункте 31 Порядка оснований для отклонения Заявок, считаются не прошедшими первый (региональный) этап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отклонения Заявок: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участника конкурса требованиям к участникам конкурса, установленным в пункте 17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представленных участником конкурса документов в составе конкурсной заявки и Заявки требования</w:t>
      </w:r>
      <w:r>
        <w:rPr>
          <w:rFonts w:ascii="Times New Roman" w:hAnsi="Times New Roman" w:cs="Times New Roman"/>
          <w:sz w:val="28"/>
          <w:szCs w:val="28"/>
        </w:rPr>
        <w:t xml:space="preserve">м к ним, установленным в конкурсной документации и объявлении о проведении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недостоверность представленной участником конкурса информации, в том числе информации о месте нахождения и адресе юридического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4) подача участником конкурса Заявк</w:t>
      </w:r>
      <w:r>
        <w:rPr>
          <w:rFonts w:ascii="Times New Roman" w:hAnsi="Times New Roman" w:cs="Times New Roman"/>
          <w:sz w:val="28"/>
          <w:szCs w:val="28"/>
        </w:rPr>
        <w:t xml:space="preserve">и после даты и (или) времени, определенных в объявлении о проведении конкурса для подачи Заявок;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5) Проект, указанный в конкурсной заявке, по результатам предварительной (региональной) экспертизы Проектов, указанных в конкурсных заявках, набрал менее 75 ба</w:t>
      </w:r>
      <w:r>
        <w:rPr>
          <w:rFonts w:ascii="Times New Roman" w:hAnsi="Times New Roman" w:cs="Times New Roman"/>
          <w:sz w:val="28"/>
          <w:szCs w:val="28"/>
        </w:rPr>
        <w:t xml:space="preserve">ллов.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32. Отсутствие установленных в пункте 31 Порядка оснований для отклонения Заявок подтверждается: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информацией и (или) документами, запрошенными Министерством посредством СМЭВ и (или) государственных информационных ресурсов, или документами, подтвер</w:t>
      </w:r>
      <w:r>
        <w:rPr>
          <w:rFonts w:ascii="Times New Roman" w:hAnsi="Times New Roman" w:cs="Times New Roman"/>
          <w:sz w:val="28"/>
          <w:szCs w:val="28"/>
        </w:rPr>
        <w:t xml:space="preserve">ждающими указанную информацию, в случае их предоставления участником конкурса в Министерство по собственной инициативе - в отношении оснований для отклонения Заявки в случае несоответствия участника конкурса требованиям к нему, установленным в подпунктах 1</w:t>
      </w:r>
      <w:r>
        <w:rPr>
          <w:rFonts w:ascii="Times New Roman" w:hAnsi="Times New Roman" w:cs="Times New Roman"/>
          <w:sz w:val="28"/>
          <w:szCs w:val="28"/>
        </w:rPr>
        <w:t xml:space="preserve">-2 пункта 17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наличием Проекта, указанного в конкурсной заявке, в перечне поступивших на конкурс Проектов, получаемых Министерством в соответствии с подпунктом 2 пункта 24 Порядка - в отношении оснований для отклонения Заявки в случае несоответс</w:t>
      </w:r>
      <w:r>
        <w:rPr>
          <w:rFonts w:ascii="Times New Roman" w:hAnsi="Times New Roman" w:cs="Times New Roman"/>
          <w:sz w:val="28"/>
          <w:szCs w:val="28"/>
        </w:rPr>
        <w:t xml:space="preserve">твия участника конкурса требованиям к нему, установленным в подпунктах 3-4 пункта 17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установлением по результатам предварительной (региональной) экспертизы Проекта, указанного в конкурсной заявке, факта недостижения Проектом проходного балла (м</w:t>
      </w:r>
      <w:r>
        <w:rPr>
          <w:rFonts w:ascii="Times New Roman" w:hAnsi="Times New Roman" w:cs="Times New Roman"/>
          <w:sz w:val="28"/>
          <w:szCs w:val="28"/>
        </w:rPr>
        <w:t xml:space="preserve">енее 75 баллов) - в отношении основания для отклонения Заявки, указанного в подпункте 5 пункта 31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33. Все прошедшие первый (региональный) этап конкурса Проекты допускаются РНФ ко второму (федеральному) этапу конкурса и проходят экспертизу в экспер</w:t>
      </w:r>
      <w:r>
        <w:rPr>
          <w:rFonts w:ascii="Times New Roman" w:hAnsi="Times New Roman" w:cs="Times New Roman"/>
          <w:sz w:val="28"/>
          <w:szCs w:val="28"/>
        </w:rPr>
        <w:t xml:space="preserve">тных советах РНФ в соответствии с Положением об </w:t>
      </w:r>
      <w:r>
        <w:rPr>
          <w:rFonts w:ascii="Times New Roman" w:hAnsi="Times New Roman" w:cs="Times New Roman"/>
          <w:sz w:val="28"/>
          <w:szCs w:val="28"/>
        </w:rPr>
        <w:t xml:space="preserve">экспертных советах Российского научного фонда, утвержденным попечительским советом РНФ.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34. Второй (федеральный) этап конкурса проводится РНФ в соответствии с Порядком конкурсного отбора и Порядком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экспертизы научных, научно-технических программ и проектов, представленных на конкурс Российского научного фонда, утвержденным решением попечительского совета РНФ от 04.10.2017, протокол № 19, с целью определения победителей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35. После утверждени</w:t>
      </w:r>
      <w:r>
        <w:rPr>
          <w:rFonts w:ascii="Times New Roman" w:hAnsi="Times New Roman" w:cs="Times New Roman"/>
          <w:sz w:val="28"/>
          <w:szCs w:val="28"/>
        </w:rPr>
        <w:t xml:space="preserve">я результатов конкурса правлением РНФ в сроки, установленные конкурсной документацией, РНФ направляет в Министерство официальное письмо о результатах конкурса, содержащее информацию, необходимую для ее размещения на АИС и официальном сайте Министерства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пунктом 37 Порядка, включая список поддержанных Проектов.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36. Министерство после получения из РНФ письма, указанного в пункте 35 Порядка: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издает приказ о предоставлении Грантов в течение семи рабочих дней со дня получения указанного письма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направляет Грантополучателям по электронной почте в формате PDF проекты соглашений о предоставлении грантов для их подписания в течение десяти рабочих дней со дня издания приказа о предоставлении Грантов.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37. Информация о результатах конкурса размещае</w:t>
      </w:r>
      <w:r>
        <w:rPr>
          <w:rFonts w:ascii="Times New Roman" w:hAnsi="Times New Roman" w:cs="Times New Roman"/>
          <w:sz w:val="28"/>
          <w:szCs w:val="28"/>
        </w:rPr>
        <w:t xml:space="preserve">тся на АИС и официальном сайте Министерства не позднее даты, указанной в объявлении о проведении конкурса, и включает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экспертизы конкурсных заявок в РНФ;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конкурса, конкурсные заявки которых б</w:t>
      </w:r>
      <w:r>
        <w:rPr>
          <w:rFonts w:ascii="Times New Roman" w:hAnsi="Times New Roman" w:cs="Times New Roman"/>
          <w:sz w:val="28"/>
          <w:szCs w:val="28"/>
        </w:rPr>
        <w:t xml:space="preserve">ыли рассмотрены в РНФ;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конкурса, конкурсные заявки которых были отклонены РНФ, с указанием причин их отклонения, в том числе положений объявления о проведении конкурса и конкурсной документации, которым не соответствуют такие заявк</w:t>
      </w:r>
      <w:r>
        <w:rPr>
          <w:rFonts w:ascii="Times New Roman" w:hAnsi="Times New Roman" w:cs="Times New Roman"/>
          <w:sz w:val="28"/>
          <w:szCs w:val="28"/>
        </w:rPr>
        <w:t xml:space="preserve">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оценки конкурсных заявок, присвоенные им значения по каждому из предусмотренных критериев конкурсного отбора, принятое на основании результатов оценки указанных заявок решение о присвоении таким конкурсным заявкам порядковых номеров;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список Грантополучателей, с которыми заключаются соглашения о предоставлении грантов, с указанием Проектов и размеров денежных средств, предоставляемых для их реализации.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предоставления грантов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38. Основанием для отказа Грантополучателю в предоставлении Гранта является: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Грантополучателем документов, указанных в подпункте 2 пункта 18 Порядка, установленным к ним требованиям или непредставление (представление не в п</w:t>
      </w:r>
      <w:r>
        <w:rPr>
          <w:rFonts w:ascii="Times New Roman" w:hAnsi="Times New Roman" w:cs="Times New Roman"/>
          <w:sz w:val="28"/>
          <w:szCs w:val="28"/>
        </w:rPr>
        <w:t xml:space="preserve">олном объеме) указанных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Грантополучателем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требованиям к Грантополучателям, установленным в пункте 17 Порядка, если о таком несоответствии стало известно на любом</w:t>
      </w:r>
      <w:r>
        <w:rPr>
          <w:rFonts w:ascii="Times New Roman" w:hAnsi="Times New Roman" w:cs="Times New Roman"/>
          <w:sz w:val="28"/>
          <w:szCs w:val="28"/>
        </w:rPr>
        <w:t xml:space="preserve"> этапе рассмотрения заявок и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4) несоответствие представленных Грантополучателем за первый год реализации Проекта отчетов, указанных в пункте 51 Порядка, установленным к ним требованиям или непредставление (представление не в полном объеме, несв</w:t>
      </w:r>
      <w:r>
        <w:rPr>
          <w:rFonts w:ascii="Times New Roman" w:hAnsi="Times New Roman" w:cs="Times New Roman"/>
          <w:sz w:val="28"/>
          <w:szCs w:val="28"/>
        </w:rPr>
        <w:t xml:space="preserve">оевременное представление) указанных отчетов;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5) подача Грантополучателем документов, указанных в пункте 18 Порядка, после даты и (или) времени, определенных для их подачи;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6) поступившая в Министерство рекомендация РНФ о прекращении финансирования Проекто</w:t>
      </w:r>
      <w:r>
        <w:rPr>
          <w:rFonts w:ascii="Times New Roman" w:hAnsi="Times New Roman" w:cs="Times New Roman"/>
          <w:sz w:val="28"/>
          <w:szCs w:val="28"/>
        </w:rPr>
        <w:t xml:space="preserve">в за счет средств областного бюджета в случаях принятия РНФ решений: о приостановлении реализации Проекта, о расторжении соглашения о предоставлении гранта за счет средств РНФ.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39. Гранты предоставляются ежегодно на срок реализации Проекта, не превышающий </w:t>
      </w:r>
      <w:r>
        <w:rPr>
          <w:rFonts w:ascii="Times New Roman" w:hAnsi="Times New Roman" w:cs="Times New Roman"/>
          <w:sz w:val="28"/>
          <w:szCs w:val="28"/>
        </w:rPr>
        <w:t xml:space="preserve">срок, установленный конкурсной документацией (два или три календарных года), в пределах периода реализации государственной программы в порядке паритетного с РНФ (50 процентов) софинансирования от стоимости Проекта, с учетом требований пункта 49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уменьшения Министерству как получателю средств областного бюджета ранее доведенных лимитов бюджетных обязательств, указанных в  пункте 4 Порядка, приводящего к невозможности предоставления Гранта в размере, определенном в соглашении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гранта, в соглашение о предоставлении гранта включаются условия о согласовании новых условий соглашения или расторжении соглашения при недостижении согласия по новым условиям.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40. Максимальный и минимальный размеры Гранта на очередной финансовый год по ка</w:t>
      </w:r>
      <w:r>
        <w:rPr>
          <w:rFonts w:ascii="Times New Roman" w:hAnsi="Times New Roman" w:cs="Times New Roman"/>
          <w:sz w:val="28"/>
          <w:szCs w:val="28"/>
        </w:rPr>
        <w:t xml:space="preserve">ждому конкурсу определяются Министерством с учетом конкурсной документации.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Размер Гранта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40"/>
          <w:szCs w:val="40"/>
        </w:rPr>
        <w:t xml:space="preserve">С = С1</w:t>
      </w:r>
      <w:r>
        <w:rPr>
          <w:rFonts w:ascii="Times New Roman" w:hAnsi="Times New Roman" w:cs="Times New Roman"/>
          <w:sz w:val="28"/>
          <w:szCs w:val="28"/>
        </w:rPr>
        <w:t xml:space="preserve">, 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 – размер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С1 – объем финансирования Проекта за счет средств РНФ.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41. Возврат Грантов в областной бюджет в случае несо</w:t>
      </w:r>
      <w:r>
        <w:rPr>
          <w:rFonts w:ascii="Times New Roman" w:hAnsi="Times New Roman" w:cs="Times New Roman"/>
          <w:sz w:val="28"/>
          <w:szCs w:val="28"/>
        </w:rPr>
        <w:t xml:space="preserve">блюдения Грантополучателями условий предоставления Грантов осуществляется в порядке и сроки, определенные пунктами 59-62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42. Соглашение о предоставлении гранта заключается Министерством с  Грантополучателем и руководителем научного коллектива на с</w:t>
      </w:r>
      <w:r>
        <w:rPr>
          <w:rFonts w:ascii="Times New Roman" w:hAnsi="Times New Roman" w:cs="Times New Roman"/>
          <w:sz w:val="28"/>
          <w:szCs w:val="28"/>
        </w:rPr>
        <w:t xml:space="preserve">рок реализации Проекта в соответствии с типовой формой, устанавливаемой министерством финансов и налоговой политики Новосибирской области. Соглашение о предоставлении гранта заключается в форме бумажного документа в четырех </w:t>
      </w:r>
      <w:r>
        <w:rPr>
          <w:rFonts w:ascii="Times New Roman" w:hAnsi="Times New Roman" w:cs="Times New Roman"/>
          <w:sz w:val="28"/>
          <w:szCs w:val="28"/>
        </w:rPr>
        <w:t xml:space="preserve">экземплярах, по одному экземпляр</w:t>
      </w:r>
      <w:r>
        <w:rPr>
          <w:rFonts w:ascii="Times New Roman" w:hAnsi="Times New Roman" w:cs="Times New Roman"/>
          <w:sz w:val="28"/>
          <w:szCs w:val="28"/>
        </w:rPr>
        <w:t xml:space="preserve">у для каждой из сторон и один - для предоставления в территориальный орган Федерального казначейства.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Обязательными требованиями, включаемыми в соглашение о предоставлении гранта,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согласие Грантополучателя, а также лиц, получающих средства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договоров, заключенных с Грантополучателем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</w:t>
      </w:r>
      <w:r>
        <w:rPr>
          <w:rFonts w:ascii="Times New Roman" w:hAnsi="Times New Roman" w:cs="Times New Roman"/>
          <w:sz w:val="28"/>
          <w:szCs w:val="28"/>
        </w:rPr>
        <w:t xml:space="preserve">ких организаций с участием таких товариществ и обществ в их уставных (складочных) капиталах), на осуществление в отношении них проверки Министерством как получателем бюджетных средств соблюдения порядка и условий предоставления Гранта, в том числе в части </w:t>
      </w:r>
      <w:r>
        <w:rPr>
          <w:rFonts w:ascii="Times New Roman" w:hAnsi="Times New Roman" w:cs="Times New Roman"/>
          <w:sz w:val="28"/>
          <w:szCs w:val="28"/>
        </w:rPr>
        <w:t xml:space="preserve">достижения результатов предоставления Гранта, а также проверки органами государственного финансового контроля соблюдения Грантополучателем порядка и условий предоставления Гранта в соответствии со статьями 268.1 и 269.2 Бюджетного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 запрет на приобретение Грантополучателем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сырья и комплектующих изделий, а также связанных с достижением целей предоставления Гранта иных операций при реализации Проекта;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условие о согласовании новых условий соглашения о предоставлении гранта или расторжении данного соглашения при недостижени</w:t>
      </w:r>
      <w:r>
        <w:rPr>
          <w:rFonts w:ascii="Times New Roman" w:hAnsi="Times New Roman" w:cs="Times New Roman"/>
          <w:sz w:val="28"/>
          <w:szCs w:val="28"/>
        </w:rPr>
        <w:t xml:space="preserve">и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обязательств, указанных в пункте 4 Порядка, приводящего к невозможности предоставления Гранта в размере,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в соглашении о его предоставлении;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5) положения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осуществления расходов, источником финансового обеспечения которых является не использованный в отчетном финансовом году остаток Гранта при принятии Министерством как получателем бюджетных средств по согласованию с министерством финансов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 в порядке, установленном Правительством Новосибирской области,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в пункте 62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6) перечисление грантов в форме субсидий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(за исключением субсидий, подлежащих в соответствии с бюджетным законодательством Российской Федерации казначейскому сопровождению).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43. Обязанности и права руководителя научного коллектива по реализации проекта определяются соглашением о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ии гранта.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44. Грантополучатель в течение пяти рабочих дней со дня получения проекта соглашения о предоставлении гранта скрепляет их подписью уполномоченного представителя Грантополучателя, печатью Грантополучателя (при наличии), подписью руководителя науч</w:t>
      </w:r>
      <w:r>
        <w:rPr>
          <w:rFonts w:ascii="Times New Roman" w:hAnsi="Times New Roman" w:cs="Times New Roman"/>
          <w:sz w:val="28"/>
          <w:szCs w:val="28"/>
        </w:rPr>
        <w:t xml:space="preserve">ного коллектива и представляют его в Министерство на бумажном носителе в трех экземплярах или подписывает проект соглашения в государственной интегрированной информационной системе управления общественными финансами «Электронный бюджет» (далее – система «Э</w:t>
      </w:r>
      <w:r>
        <w:rPr>
          <w:rFonts w:ascii="Times New Roman" w:hAnsi="Times New Roman" w:cs="Times New Roman"/>
          <w:sz w:val="28"/>
          <w:szCs w:val="28"/>
        </w:rPr>
        <w:t xml:space="preserve">лектронный бюджет»).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проекта соглашения о предоставлении грантов в Министерство, или не подписание проекта соглашения Грантополучателем в системе «Электронный бюджет» в срок, указанный в абзаце первом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пункта Порядка, является основанием для признания Грантополучателя уклонившимся от заключения соглашения о предоставлении гранта.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Уклонившийся от заключения соглашения Грантополучатель лишается права на получение гранта по результатам прошедшего отбо</w:t>
      </w:r>
      <w:r>
        <w:rPr>
          <w:rFonts w:ascii="Times New Roman" w:hAnsi="Times New Roman" w:cs="Times New Roman"/>
          <w:sz w:val="28"/>
          <w:szCs w:val="28"/>
        </w:rPr>
        <w:t xml:space="preserve">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45. Министерство в течение пяти рабочих дней со дня получения от Грантополучателя подписанного проекта соглашения о предоставлении гранта подписывает его и заверяет печатью.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соглашение подписывается в системе «Электр</w:t>
      </w:r>
      <w:r>
        <w:rPr>
          <w:rFonts w:ascii="Times New Roman" w:hAnsi="Times New Roman" w:cs="Times New Roman"/>
          <w:sz w:val="28"/>
          <w:szCs w:val="28"/>
        </w:rPr>
        <w:t xml:space="preserve">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46. У Грантополучателя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</w:t>
      </w:r>
      <w:r>
        <w:rPr>
          <w:rFonts w:ascii="Times New Roman" w:hAnsi="Times New Roman" w:cs="Times New Roman"/>
          <w:sz w:val="28"/>
          <w:szCs w:val="28"/>
        </w:rPr>
        <w:t xml:space="preserve">стоянию на дату не ранее первого числа месяца, в котором планируется предоставление Гранта.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Сведения об отсутствии Грантополучателя неисполненной обязанности, указанной в абзаце первом настоящего пункта Порядка, проверяются Министерством по справке налогов</w:t>
      </w:r>
      <w:r>
        <w:rPr>
          <w:rFonts w:ascii="Times New Roman" w:hAnsi="Times New Roman" w:cs="Times New Roman"/>
          <w:sz w:val="28"/>
          <w:szCs w:val="28"/>
        </w:rPr>
        <w:t xml:space="preserve">ого органа о состоянии расчетов по налогам, сборам, страховым взносам, пеням, штрафам, процентам организаций и индивидуальных предпринимателей, запрошенной Министерством в рамках СМЭВ в сроки, устанавливаемые приказом министерства финансов и налоговой поли</w:t>
      </w:r>
      <w:r>
        <w:rPr>
          <w:rFonts w:ascii="Times New Roman" w:hAnsi="Times New Roman" w:cs="Times New Roman"/>
          <w:sz w:val="28"/>
          <w:szCs w:val="28"/>
        </w:rPr>
        <w:t xml:space="preserve">тики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47. Результатом предоставления Гранта является своевременное, в сроки, указанные в пункте 51 Порядка, представление в Министерство указанных в пункте 51 Порядка отчетов, подтверждающих проведение научного исследования и наличие: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полученных научных результатов;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обоснованности фактических расходов по Проекту;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обнародования результатов научной работы, выполненной в рамках Проекта;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возможности практического использования предполагаемых результатов Проекта в экономике и социальной сфе</w:t>
      </w:r>
      <w:r>
        <w:rPr>
          <w:rFonts w:ascii="Times New Roman" w:hAnsi="Times New Roman" w:cs="Times New Roman"/>
          <w:sz w:val="28"/>
          <w:szCs w:val="28"/>
        </w:rPr>
        <w:t xml:space="preserve">ре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48. Результаты предоставления Гранта измеряются: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оценкой Проекта, выражающейся в наличии решения Правления РНФ, принятого по результатам экспертизы представленных в РНФ отчетов о реализации Проекта: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о продолжении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Проекта в связи с соблюдением Грантополучателем условий и порядка предоставления Гранта и продолжении финансирования Проекта на следующий год или прекращении финансирования Проекта в связи с признанием итогов реализации Проекта неудовлетворительными (приме</w:t>
      </w:r>
      <w:r>
        <w:rPr>
          <w:rFonts w:ascii="Times New Roman" w:hAnsi="Times New Roman" w:cs="Times New Roman"/>
          <w:sz w:val="28"/>
          <w:szCs w:val="28"/>
        </w:rPr>
        <w:t xml:space="preserve">няется в отношении продолжающихся Проектов);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о выполнении Проекта (применяется в отношении завершенных Проектов).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количеством научных статей (в рецензируемых российских и зарубежных научных изданиях, индексируемых в библиографических зарубежных базах</w:t>
      </w:r>
      <w:r>
        <w:rPr>
          <w:rFonts w:ascii="Times New Roman" w:hAnsi="Times New Roman" w:cs="Times New Roman"/>
          <w:sz w:val="28"/>
          <w:szCs w:val="28"/>
        </w:rPr>
        <w:t xml:space="preserve"> данных публикаций и/или RussianScienceCitationIndex (RSCI) по тематике Проекта, указанных Грантополучателем в представляемом им в соответствии с подпунктом 4 пункта 51 Порядка отчете о достижении значений результатов предоставления Гранта.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достижения результата Проекта количество научных статей, с указанием планируемого срока их публикации, определяется соглашением о предоставлении гранта.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 указанным в абзаце первом подпункта 2 настоящего пункта статьям не  относятся публикац</w:t>
      </w:r>
      <w:r>
        <w:rPr>
          <w:rFonts w:ascii="Times New Roman" w:hAnsi="Times New Roman" w:cs="Times New Roman"/>
          <w:sz w:val="28"/>
          <w:szCs w:val="28"/>
        </w:rPr>
        <w:t xml:space="preserve">ии, содержащие ссылки на иные, помимо Министерства и РНФ, источники финансирования; публикации, направленные в издательство до  начала практической реализации Проекта (до заключения соглашения о предоставлении гранта); публикации типа «тезисы».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49. Министе</w:t>
      </w:r>
      <w:r>
        <w:rPr>
          <w:rFonts w:ascii="Times New Roman" w:hAnsi="Times New Roman" w:cs="Times New Roman"/>
          <w:sz w:val="28"/>
          <w:szCs w:val="28"/>
        </w:rPr>
        <w:t xml:space="preserve">рство осуществляет финансирование второго и (или) третьего года реализации Проектов в рамках Соглашения о предоставлении гранта, заключенного в соответствии с пунктом 42 Порядка, при достижении результатов, указанных в пункте 47 Порядка, после получения от</w:t>
      </w:r>
      <w:r>
        <w:rPr>
          <w:rFonts w:ascii="Times New Roman" w:hAnsi="Times New Roman" w:cs="Times New Roman"/>
          <w:sz w:val="28"/>
          <w:szCs w:val="28"/>
        </w:rPr>
        <w:t xml:space="preserve"> РНФ списка Проектов, поддержанных РНФ к финансированию за счет средств РНФ на соответствующий год, в следующем порядке: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размещает его на своем официальном сайте (https://nauka.nso.ru) в сети «Интернет» в течение трех рабочих дней со дня получения;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издает приказ о предоставлении Грантов в течение семи рабочих дней со дня получения списка Проектов, поддержанных РНФ к финансированию за счет средств РНФ;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направляет Грантополучателям по электронной почте в формате PDF проекты соглашений о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лении Грантов для их подписания в течение десяти рабочих дней со дня издания приказа о предоставлении Грантов.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50. Гранты выплачиваются в соответствии с Соглашением о предоставлении гранта ежегодно путем единовременных перечислений на счета Грантополучател</w:t>
      </w:r>
      <w:r>
        <w:rPr>
          <w:rFonts w:ascii="Times New Roman" w:hAnsi="Times New Roman" w:cs="Times New Roman"/>
          <w:sz w:val="28"/>
          <w:szCs w:val="28"/>
        </w:rPr>
        <w:t xml:space="preserve">ей, открытые с учетом положений, установленных бюджетным законодательством Российской Федерации, в территориальном органе Федерального казначейства.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информирует РНФ о перечислении Грантов в течение пяти рабочих дней со дня перечисления.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Т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ребования к отчетности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51. Грантополучатель по результатам реализации Проекта представляет в Министерство следующие отчеты: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ежегодно, в срок не позднее двадцатого рабочего дня, следующего за отчетным годом, - выгруженную из ИАС РНФ и заверенную копию о</w:t>
      </w:r>
      <w:r>
        <w:rPr>
          <w:rFonts w:ascii="Times New Roman" w:hAnsi="Times New Roman" w:cs="Times New Roman"/>
          <w:sz w:val="28"/>
          <w:szCs w:val="28"/>
        </w:rPr>
        <w:t xml:space="preserve">тчета (итоговый отчет) о выполнении Проекта, который ранее был оформлен в ИАС РНФ по форме, установленной РНФ;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ежегодно, в срок не позднее двадцатого рабочего дня, следующего за  отчетным годом, -выгруженную из ИАС РНФ и заверенную копию отчета о целево</w:t>
      </w:r>
      <w:r>
        <w:rPr>
          <w:rFonts w:ascii="Times New Roman" w:hAnsi="Times New Roman" w:cs="Times New Roman"/>
          <w:sz w:val="28"/>
          <w:szCs w:val="28"/>
        </w:rPr>
        <w:t xml:space="preserve">м использовании средств гранта Российского научного фонда, который ранее был оформлен в ИАС РНФ по форме, установленной РНФ;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ежеквартально, в срок не позднее десятого рабочего дня, следующего за отчетным кварталом,  - отчет о расходах, источником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обеспечения которых является Грант, составленный по форме, разработанной Министерством в   соответствии с типовыми формами соглашений, установленными министерством финансов и налоговой политики Новосибирской области, являющийся неотъемлемой частью со</w:t>
      </w:r>
      <w:r>
        <w:rPr>
          <w:rFonts w:ascii="Times New Roman" w:hAnsi="Times New Roman" w:cs="Times New Roman"/>
          <w:sz w:val="28"/>
          <w:szCs w:val="28"/>
        </w:rPr>
        <w:t xml:space="preserve">глашения о предоставлении гранта и содержащий все документы, подтверждающие целевое расходование Гранта: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заверенные копии приказов о составе научного коллектива;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копии платежных документов, подтверждающих осуществление затрат, сгруппированных по вида</w:t>
      </w:r>
      <w:r>
        <w:rPr>
          <w:rFonts w:ascii="Times New Roman" w:hAnsi="Times New Roman" w:cs="Times New Roman"/>
          <w:sz w:val="28"/>
          <w:szCs w:val="28"/>
        </w:rPr>
        <w:t xml:space="preserve">м произведенных расходов;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в) копии заключенных договоров с приложением технических заданий на проведение работ (оказание услуг), товарных накладных и актов приема-передачи выполненных работ (оказанных услуг);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г) копии иных документов, подтверждающих произв</w:t>
      </w:r>
      <w:r>
        <w:rPr>
          <w:rFonts w:ascii="Times New Roman" w:hAnsi="Times New Roman" w:cs="Times New Roman"/>
          <w:sz w:val="28"/>
          <w:szCs w:val="28"/>
        </w:rPr>
        <w:t xml:space="preserve">еденные расходы;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д) копии предложений руководителя научного коллектива к вышеперечисленным документам;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е) копии иных документов, подтверждающих произведенные расходы;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4) ежеквартально, в срок не позднее десятого рабочего дня, следующего за отчетным квартал</w:t>
      </w:r>
      <w:r>
        <w:rPr>
          <w:rFonts w:ascii="Times New Roman" w:hAnsi="Times New Roman" w:cs="Times New Roman"/>
          <w:sz w:val="28"/>
          <w:szCs w:val="28"/>
        </w:rPr>
        <w:t xml:space="preserve">ом - отчет о достижении значений результатов предоставления Гранта по форме, разработанной Министерством в соответствии с типовыми формами соглашений, установленными министерством финансов и налоговой политики Новосибирской области, являющийся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частью Соглашения о предоставлении гранта и содержащий все документы, подтверждающие целевое расходование Гранта.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52. Отчеты, указанные в пункте 51 Порядка, представляются в  Министерство на бумажном носителе и на электронном носителе (файлы в формате DOC</w:t>
      </w:r>
      <w:r>
        <w:rPr>
          <w:rFonts w:ascii="Times New Roman" w:hAnsi="Times New Roman" w:cs="Times New Roman"/>
          <w:sz w:val="28"/>
          <w:szCs w:val="28"/>
        </w:rPr>
        <w:t xml:space="preserve"> или DOCХ или RTF, а также скан-копии подписанных документов в  формате PDF). Содержание электронных версий отчетов должно быть идентично содержанию отчетов на бумажном носителе. Все листы отчетов, представляемых Грантополучателем, должны быть соединены (с</w:t>
      </w:r>
      <w:r>
        <w:rPr>
          <w:rFonts w:ascii="Times New Roman" w:hAnsi="Times New Roman" w:cs="Times New Roman"/>
          <w:sz w:val="28"/>
          <w:szCs w:val="28"/>
        </w:rPr>
        <w:t xml:space="preserve">шиты) скобами.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Требования об осуществлении контроля за соблюдением условий и порядка предоставления грантов и ответственность за их нарушение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53. Министерство осуществляет проверку соблюдения Грантополучателем порядка и условий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Гранта при проверке отчетов, указанных в пункте 51 Порядка, а органы государственного финансового контроля осуществляют проверку Грантополучателей в соответствии со статьями 268.1 и 269.2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Грантополучатель, а также лица, получающие средства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договоров, заключенных с Грантополучателем (за исключением государственных (муниципальных) унитарных предприятий, хозяйственных товариществ и обществ с  участием публично-правовых образований в их уставных (складочных) капиталах, а также коммерч</w:t>
      </w:r>
      <w:r>
        <w:rPr>
          <w:rFonts w:ascii="Times New Roman" w:hAnsi="Times New Roman" w:cs="Times New Roman"/>
          <w:sz w:val="28"/>
          <w:szCs w:val="28"/>
        </w:rPr>
        <w:t xml:space="preserve">еских организаций с участием таких товариществ и обществ в их уставных (складочных) капиталах), соглашаются на осуществление в отношении них проверки Министерством как получателем бюджетных средств соблюдения условий и порядка предоставления Гранта, в том </w:t>
      </w:r>
      <w:r>
        <w:rPr>
          <w:rFonts w:ascii="Times New Roman" w:hAnsi="Times New Roman" w:cs="Times New Roman"/>
          <w:sz w:val="28"/>
          <w:szCs w:val="28"/>
        </w:rPr>
        <w:t xml:space="preserve">числе в части достижения результатов предоставления Гранта, а также проверки органами государственного финансового контроля соблюдения порядка и условий предоставления Гранта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и министерством финансов и налоговой политики Новосибирской области проводится мониторинг достижения результатов предоставления Гранта исходя из достижения значений результатов предоставления Гранта, определенных Соглашением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гранта, и событий, отражающих факт завершения соответствующего этапа реализации проекта по получению результата предоставления Гранта (контрольная точка), в порядке и по  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54. Министе</w:t>
      </w:r>
      <w:r>
        <w:rPr>
          <w:rFonts w:ascii="Times New Roman" w:hAnsi="Times New Roman" w:cs="Times New Roman"/>
          <w:sz w:val="28"/>
          <w:szCs w:val="28"/>
        </w:rPr>
        <w:t xml:space="preserve">рство в течение сорока пяти календарных дней с даты окончания оформления отчетов в ИАС РНФ, установленной в конкурсной документации: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принимает и анализирует поступившие от Грантополучателя отчеты, указанные в пункте 51 Порядка, оценивает соблюдение Гран</w:t>
      </w:r>
      <w:r>
        <w:rPr>
          <w:rFonts w:ascii="Times New Roman" w:hAnsi="Times New Roman" w:cs="Times New Roman"/>
          <w:sz w:val="28"/>
          <w:szCs w:val="28"/>
        </w:rPr>
        <w:t xml:space="preserve">тополучателями условий и порядка предоставления Грантов, а также достижения результатов предоставления Грантов;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направляет в РНФ результаты рассмотрения отчетов и предложения о продолжении финансирования Проектов за счет средств областного бюджета на вт</w:t>
      </w:r>
      <w:r>
        <w:rPr>
          <w:rFonts w:ascii="Times New Roman" w:hAnsi="Times New Roman" w:cs="Times New Roman"/>
          <w:sz w:val="28"/>
          <w:szCs w:val="28"/>
        </w:rPr>
        <w:t xml:space="preserve">орой (третий) календарный год их реализации.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55. За нецелевое использование Гранта Грантополучатель несет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56. При выявлении фактов получения Грантов с нарушением условий и</w:t>
      </w:r>
      <w:r>
        <w:rPr>
          <w:rFonts w:ascii="Times New Roman" w:hAnsi="Times New Roman" w:cs="Times New Roman"/>
          <w:sz w:val="28"/>
          <w:szCs w:val="28"/>
        </w:rPr>
        <w:t xml:space="preserve">х предоставления, в том числе в случае недостижения всех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соглашении о предоставлении гранта значений результата предоставления Гранта, сумма полученных Гратополучателем денежных средств подлежит возврату в областной бюджет.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57. Условия закл</w:t>
      </w:r>
      <w:r>
        <w:rPr>
          <w:rFonts w:ascii="Times New Roman" w:hAnsi="Times New Roman" w:cs="Times New Roman"/>
          <w:sz w:val="28"/>
          <w:szCs w:val="28"/>
        </w:rPr>
        <w:t xml:space="preserve">ючения дополнительного соглашения о предоставлении гранта: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направление Грантополучателем в Министерство информации и предложений о внесении изменений в соглашение о предоставлении гранта с  финансово-экономическим обоснованием таких изменений в случаях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Грантополучателем необходимости: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 уменьшения размера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 изменения структуры затрат, в случае, если такие изменения не влияют на установленный в соглашении о предоставлении гранта результат предоставления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выявления указанны</w:t>
      </w:r>
      <w:r>
        <w:rPr>
          <w:rFonts w:ascii="Times New Roman" w:hAnsi="Times New Roman" w:cs="Times New Roman"/>
          <w:sz w:val="28"/>
          <w:szCs w:val="28"/>
        </w:rPr>
        <w:t xml:space="preserve">х в подпункте 1 настоящего пункта Порядка случаев необходимости внесении изменений в соглашение о предоставлении гранта по результатам проверок соблюдения условий и порядка предоставления Грантов Грантополучателям, а также достижения Грантополучателями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предоставления Грантов;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уменьшение размера Гранта по инициативе Министерства в случае уменьшения Министерству ранее доведенных лимитов бюджетных обязательств, указанных в пункте 4 Порядка, приводящее к невозможности предоставления Гранта в разм</w:t>
      </w:r>
      <w:r>
        <w:rPr>
          <w:rFonts w:ascii="Times New Roman" w:hAnsi="Times New Roman" w:cs="Times New Roman"/>
          <w:sz w:val="28"/>
          <w:szCs w:val="28"/>
        </w:rPr>
        <w:t xml:space="preserve">ере, определенном в соглашении о предоставлении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4) при принятии Министерством по согласованию с министерством финансов и налоговой политики Новосибирской области в соответствии с пунктом 62 Порядка решения о наличии потребности в не использованном </w:t>
      </w:r>
      <w:r>
        <w:rPr>
          <w:rFonts w:ascii="Times New Roman" w:hAnsi="Times New Roman" w:cs="Times New Roman"/>
          <w:sz w:val="28"/>
          <w:szCs w:val="28"/>
        </w:rPr>
        <w:t xml:space="preserve">в отчетном году остатке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5) уменьшение размера Гранта по инициативе Министерства в случае поступления в Министерство информации о вынесенном правлением РНФ решении о сокращении объема Гранта;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6) при реорганизации получателя гранта, являющегося юридическим лицом, в форме слияния, присоединения или преобразования вносятся изменения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58. 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рассматривает и принимает решение о необходимости заключения дополнительного соглашения о предоставлении гранта с Грантополучателем в течение тридцати календарных дней со дня установления обстоятельств, указанных в подпункте 1 пункта 57 Порядка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о предоставлении гранта заключается в  течение двадцати рабочих дней после принятия Министерством решения о необходимости его заключения.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59. Министерство: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в случае установления фактов несоблюдения Грантополучателем условий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Гранта, нарушения условий соглашения о предоставлении гранта, выявленных по фактам проверок, проведенных Министерством и уполномоченным органом государственного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контроля, а также в случае недостижения результата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Гранта, установленного в пункте 47 Порядка, в течение десяти рабочих дней со дня установления указанных фактов направляет Грантополучателю письменное требование о возврате полученных денежных средств с указанием сроков возврата и суммы, подлежащей в</w:t>
      </w:r>
      <w:r>
        <w:rPr>
          <w:rFonts w:ascii="Times New Roman" w:hAnsi="Times New Roman" w:cs="Times New Roman"/>
          <w:sz w:val="28"/>
          <w:szCs w:val="28"/>
        </w:rPr>
        <w:t xml:space="preserve">озврату;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2) в случае получения от Грантополучателя информации о возникновении обстоятельств, препятствующих и (или) свидетельствующих о нецелесообразности дальнейшей реализации Проекта, в течение десяти рабочих дней со дня получения указанной информации на</w:t>
      </w:r>
      <w:r>
        <w:rPr>
          <w:rFonts w:ascii="Times New Roman" w:hAnsi="Times New Roman" w:cs="Times New Roman"/>
          <w:sz w:val="28"/>
          <w:szCs w:val="28"/>
        </w:rPr>
        <w:t xml:space="preserve">правляет Грантополучателю письменное требование о возврате неиспользованной части Гранта с указанием сроков возврата и суммы, подлежащей возврату;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3) при реорганизации Грантополучателя, являющегося юридическим лицом, в форме разделения, выделения,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ликвидации Грантополучателя, являющегося юридическим лицом, расторгает соглашение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</w:t>
      </w:r>
      <w:r>
        <w:rPr>
          <w:rFonts w:ascii="Times New Roman" w:hAnsi="Times New Roman" w:cs="Times New Roman"/>
          <w:sz w:val="28"/>
          <w:szCs w:val="28"/>
        </w:rPr>
        <w:t xml:space="preserve">ополучателем обязательствах источником финансового обеспечения которых является грант в форме субсидии, и возврате неиспользованного остатка Гранта в бюджет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60. Грантополучатель в течение пяти рабочих дней со дня получения письменног</w:t>
      </w:r>
      <w:r>
        <w:rPr>
          <w:rFonts w:ascii="Times New Roman" w:hAnsi="Times New Roman" w:cs="Times New Roman"/>
          <w:sz w:val="28"/>
          <w:szCs w:val="28"/>
        </w:rPr>
        <w:t xml:space="preserve">о требования, указанных в пункте 59 Порядка, обязан перечислить указанную в нем сумму Гранта или части Гранта в  доход областного бюджета. В случае невозврата указанных средств их взыскание осуществляется в судебном порядке в соответствии с 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61. Грантополучатель в течение пяти рабочих дней со дня получения письменного требования, указанного в подпункте 1 или в подпункте 2 пункта 59 Порядка, обязан перечислить указанную в нем сумму Гранта или части Гранта в  доход облас</w:t>
      </w:r>
      <w:r>
        <w:rPr>
          <w:rFonts w:ascii="Times New Roman" w:hAnsi="Times New Roman" w:cs="Times New Roman"/>
          <w:sz w:val="28"/>
          <w:szCs w:val="28"/>
        </w:rPr>
        <w:t xml:space="preserve">тного бюджета. В случае невозврата указанных средств их взыскание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62. Грантополучателем могут осуществляться расходы, источником финансового обеспечения которых является не использованный в отчетном году остаток Гранта (за исключением не использованного остатка Гранта в год окончания реализации Проекта), при принятии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по согласованию с  министерством финансов и налоговой политики Новосибирской области решения о наличии потребности в указанных средствах.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по состоянию на 1 января года, следующего за отчетным годом, неиспользованного остатка Гра</w:t>
      </w:r>
      <w:r>
        <w:rPr>
          <w:rFonts w:ascii="Times New Roman" w:hAnsi="Times New Roman" w:cs="Times New Roman"/>
          <w:sz w:val="28"/>
          <w:szCs w:val="28"/>
        </w:rPr>
        <w:t xml:space="preserve">нта Грантополучатель обязан направить в Министерство информацию об этом в срок до 21 января года, следующего за отчетным годом.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Министерством фактов отсутствия потребности в  не использованном на конец отчетного года остатке Гранта и отсут</w:t>
      </w:r>
      <w:r>
        <w:rPr>
          <w:rFonts w:ascii="Times New Roman" w:hAnsi="Times New Roman" w:cs="Times New Roman"/>
          <w:sz w:val="28"/>
          <w:szCs w:val="28"/>
        </w:rPr>
        <w:t xml:space="preserve">ствия решения Министерства о наличии такой потребности, принятого по согласованию с  министерством финансов и налоговой политики Новосибирской области, Грантополучатель возвращает указанные денежные средства в областной </w:t>
      </w:r>
      <w:r>
        <w:rPr>
          <w:rFonts w:ascii="Times New Roman" w:hAnsi="Times New Roman" w:cs="Times New Roman"/>
          <w:sz w:val="28"/>
          <w:szCs w:val="28"/>
        </w:rPr>
        <w:t xml:space="preserve">бюджет Новосибирской области в течен</w:t>
      </w:r>
      <w:r>
        <w:rPr>
          <w:rFonts w:ascii="Times New Roman" w:hAnsi="Times New Roman" w:cs="Times New Roman"/>
          <w:sz w:val="28"/>
          <w:szCs w:val="28"/>
        </w:rPr>
        <w:t xml:space="preserve">ие тридцати календарных дней со дня уведомления получателя субсидии о наступлении таких фактов.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по состоянию на 1 января года, следующего за отчетным годом, в котором заканчивается срок реализации Проекта, неиспользованного остатка Гранта Грантополучатель обязан возвратить его в доход областного бюдж</w:t>
      </w:r>
      <w:r>
        <w:rPr>
          <w:rFonts w:ascii="Times New Roman" w:hAnsi="Times New Roman" w:cs="Times New Roman"/>
          <w:sz w:val="28"/>
          <w:szCs w:val="28"/>
        </w:rPr>
        <w:t xml:space="preserve">ета в  течение десяти рабочих дней со дня направления Грантополучателю требования о возврате неиспользованного остатка Гранта.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244"/>
        <w:jc w:val="center"/>
        <w:outlineLvl w:val="1"/>
      </w:pPr>
      <w:r/>
      <w:bookmarkStart w:id="2" w:name="undefined"/>
      <w:r/>
      <w:bookmarkEnd w:id="2"/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ПРИЛОЖЕНИЕ № 1</w:t>
      </w:r>
      <w:r/>
    </w:p>
    <w:p>
      <w:pPr>
        <w:pStyle w:val="884"/>
        <w:ind w:left="5244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</w:t>
      </w:r>
      <w:r>
        <w:rPr>
          <w:rFonts w:ascii="Times New Roman" w:hAnsi="Times New Roman" w:cs="Times New Roman"/>
          <w:sz w:val="28"/>
          <w:szCs w:val="28"/>
        </w:rPr>
        <w:t xml:space="preserve">дом и Новосибирской областью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ПЕРЕЧЕНЬ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приоритетных направлений исследований, </w:t>
      </w:r>
      <w:r>
        <w:rPr>
          <w:rFonts w:ascii="Times New Roman" w:hAnsi="Times New Roman" w:eastAsia="Times New Roman"/>
          <w:b/>
          <w:bCs/>
          <w:sz w:val="28"/>
          <w:szCs w:val="28"/>
        </w:rPr>
        <w:br/>
        <w:t xml:space="preserve">поддерживаемых Новосибирской область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 Инновационные лазерные, оптические и оптоэлектронные технологии, фотоника в интересах технологического развития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 Энергосбережение и повышение энергетической эффективности в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 Силовая электроника, электротехника и электромашиностроение в целях развития технологического потенциала предприятий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 Микро-, нано- и биоэлект</w:t>
      </w:r>
      <w:r>
        <w:rPr>
          <w:rFonts w:ascii="Times New Roman" w:hAnsi="Times New Roman" w:eastAsia="Times New Roman"/>
          <w:sz w:val="28"/>
          <w:szCs w:val="28"/>
        </w:rPr>
        <w:t xml:space="preserve">роника для предприятий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5. Новые материалы и нанотехнологии, аддитивные технологии в интересах технологического развития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6. Катализ и научное обеспечение каталитических технологий в целях развития отрасли в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7. Информационно-телекоммуникационные, геоинформационные и когнитивные технологии, компьютерное моделирование и конструирование в интересах социаль</w:t>
      </w:r>
      <w:r>
        <w:rPr>
          <w:rFonts w:ascii="Times New Roman" w:hAnsi="Times New Roman" w:eastAsia="Times New Roman"/>
          <w:sz w:val="28"/>
          <w:szCs w:val="28"/>
        </w:rPr>
        <w:t xml:space="preserve">но-экономического развития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8. Приборостроение, наукоемкое оборудование, автоматизация и робототехника для экономики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9. Технологии аэро- и гидродинамики для предприятий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10. Биоиндустрия, биоресурсы и биотехнологии. Новые технологии в развитии агропромышленного комплекса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11. Охрана здоровья в Новосибирской области. Ускорение инновационного развития здравоохранения в Новосибирской области на основе вы</w:t>
      </w:r>
      <w:r>
        <w:rPr>
          <w:rFonts w:ascii="Times New Roman" w:hAnsi="Times New Roman" w:eastAsia="Times New Roman"/>
          <w:sz w:val="28"/>
          <w:szCs w:val="28"/>
        </w:rPr>
        <w:t xml:space="preserve">сокотехнологичной медицины и медицины будущего, клеточных технологий, фармакологии.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</w:rPr>
        <w:t xml:space="preserve">12. Геология и недропользование. Рациональная добыча и комплексная </w:t>
      </w:r>
      <w:r>
        <w:rPr>
          <w:rFonts w:ascii="Times New Roman" w:hAnsi="Times New Roman" w:eastAsia="Times New Roman"/>
          <w:sz w:val="28"/>
          <w:szCs w:val="28"/>
        </w:rPr>
        <w:t xml:space="preserve">переработка полезных ископаемых на территории Новосибирской области.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</w:rPr>
        <w:t xml:space="preserve">13. Общественно-гуманитарные проблем</w:t>
      </w:r>
      <w:r>
        <w:rPr>
          <w:rFonts w:ascii="Times New Roman" w:hAnsi="Times New Roman" w:eastAsia="Times New Roman"/>
          <w:sz w:val="28"/>
          <w:szCs w:val="28"/>
        </w:rPr>
        <w:t xml:space="preserve">ы и направления развития человека и социума в Новосибирской области.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</w:rPr>
        <w:t xml:space="preserve">14. Новые технологии в сфере строительства и архитектуры на территории Новосибирской области.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</w:rPr>
        <w:t xml:space="preserve">15. Экология и охрана окружающей среды на территории Новосибирской области.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16. Креативные ин</w:t>
      </w:r>
      <w:r>
        <w:rPr>
          <w:rFonts w:ascii="Times New Roman" w:hAnsi="Times New Roman" w:eastAsia="Times New Roman"/>
          <w:sz w:val="28"/>
          <w:szCs w:val="28"/>
        </w:rPr>
        <w:t xml:space="preserve">дустрии для применения в экономике и социальной сфере Новосибирской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ind w:left="5669"/>
        <w:jc w:val="center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Calibri"/>
          <w:sz w:val="28"/>
          <w:szCs w:val="28"/>
        </w:rPr>
      </w:r>
    </w:p>
    <w:p>
      <w:pPr>
        <w:pStyle w:val="884"/>
        <w:ind w:left="5244" w:firstLine="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4" w:firstLine="1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 Порядку предоставления из областного бюджета Новосибирской области некоммерческим организациям, не являющимся казенными </w:t>
      </w:r>
      <w:r>
        <w:rPr>
          <w:rFonts w:ascii="Times New Roman" w:hAnsi="Times New Roman" w:eastAsia="Times New Roman"/>
          <w:sz w:val="28"/>
          <w:szCs w:val="28"/>
        </w:rPr>
        <w:t xml:space="preserve">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Критерии оценки научных проектов, получивших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поддержку по результатам региональных конкурсов проектов фундаментальных научных исследований и поисковых научных исследований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859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Критерии для оценки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Значения критериев, в баллах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Соответствие тематики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научных проектов, получивших поддержку по результатам региональных конкурсов проектов фундаментальных научных исследований и поисковых научных исследований (далее –  Проект), одному из направлений, содержащихся в </w:t>
            </w:r>
            <w:hyperlink r:id="rId11" w:tooltip="consultantplus://offline/ref=00FDD5A5C614B2BE5D8CEAF2166A2567DCBD09F2A24785777272548AC75C4F1327797BB134A5929025433637BD92159BB4F6EF62107DE520C20E87206546D" w:history="1">
              <w:r>
                <w:rPr>
                  <w:rStyle w:val="902"/>
                  <w:rFonts w:ascii="Times New Roman" w:hAnsi="Times New Roman" w:eastAsia="Times New Roman"/>
                  <w:color w:val="000000"/>
                  <w:sz w:val="24"/>
                  <w:szCs w:val="24"/>
                  <w:u w:val="none"/>
                </w:rPr>
                <w:t xml:space="preserve">Перечне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приоритетных направлений исследований, поддерживаемых Новосибирской областью (приложение № 1 к Порядку предоставления некоммерческим организациям, не являющимся казенными учреждениями, из областного бюджета Новосибирской области грантов в форме субсидий 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 (выбрать одно из нижеуказанных значений):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 20,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соответствует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Значимость ожидаемых результатов проекта для социально-экономического развития Новосибирской области, их практическая направленность и масштабность (выбрать одно из нижеуказанных значений):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до 50,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Тематика проекта соответствует задаче (проблематике), содержащейся в Перечне приоритетных отраслевых задач с учетом имеющихся компетенций научных и образовательных организаций высшего образования, расположенных на территории Новосибирской области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утвержден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ным Губернатором Новосибирской области от 15.05.2023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(далее – Перечень приоритетный задач)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Тематика Проекта не включена в Перечень приоритетный задач, но ее актуальность для социально-экономического развития Новосибирской области подтверждена пись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менной рекомендацией органа власти Новосибирской области или рекомендацией организации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реального сектора экономики / социальной сферы региона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Иная тема (тема Проекта не соответствует значениям критериев – задачам (проблематике), указанных в Перечне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приоритетных задач и условиям указанным в подпунктах 2.1 и 2.2 критериев оценки Проектов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Потенциал ожидаемых результатов 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роекта для формирования точек роста российской экономики, основанных на научно-технологическом развитии (выбрать одно из нижеуказанных значений):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pStyle w:val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имеется обоснованное подтверждение внедрения ожидаемых результатов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индустриального партнера, реального сектора экономики и социальной сферы региона в краткосрочной перспективе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(3-х до 5-ти лет со дня получения результатов исследования)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pStyle w:val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имеется обоснованное подтверждение внедрения ожидаемых результатов со стороны индустриального партнера, реального сектора экономики и социальной сферы региона в среднесрочной перспективе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5-ти до 10-ти лет со дня получения результатов исследования)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pStyle w:val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или трудно оценимый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имеется обоснованное подтверждение внедрения ожидаемых результатов со стороны индустриального партнера, реального сектора экономики и социальной сферы региона в среднесрочной перспективе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10-ти лет со дня получения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ультатов исследования либо                              не имеется)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84"/>
        <w:ind w:left="5244" w:firstLine="1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44" w:firstLine="1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 Порядку предоставления из областного бюджета Новосибирской области некоммерческим организациям, не являющимся казенными </w:t>
      </w:r>
      <w:r>
        <w:rPr>
          <w:rFonts w:ascii="Times New Roman" w:hAnsi="Times New Roman" w:eastAsia="Times New Roman"/>
          <w:sz w:val="28"/>
          <w:szCs w:val="28"/>
        </w:rPr>
        <w:t xml:space="preserve">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</w:t>
      </w:r>
      <w:r>
        <w:rPr>
          <w:rFonts w:ascii="Times New Roman" w:hAnsi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расходов, источником финансового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обеспечения которых является Грант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4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 Выплаты персоналу (с учетом страховых взносов во внебюджетные фонды):</w:t>
      </w:r>
      <w:r/>
    </w:p>
    <w:p>
      <w:pPr>
        <w:pStyle w:val="884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1) вознаграждение за выполнение работ по научному проекту, получившему поддержку по результатам регионального конкурса проектов фундаментальных на</w:t>
      </w:r>
      <w:r>
        <w:rPr>
          <w:rFonts w:ascii="Times New Roman" w:hAnsi="Times New Roman" w:cs="Times New Roman"/>
          <w:sz w:val="28"/>
          <w:szCs w:val="28"/>
        </w:rPr>
        <w:t xml:space="preserve">учных исследований и поисковых научных исследований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Проект), руководителю научного коллектива и членам научного коллектива (с учетом страховых взносов во внебюджетные фонды, за исключением выплат лицам категории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вспомогательный персонал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 (выплат</w:t>
      </w:r>
      <w:r>
        <w:rPr>
          <w:rFonts w:ascii="Times New Roman" w:hAnsi="Times New Roman" w:cs="Times New Roman"/>
          <w:sz w:val="28"/>
          <w:szCs w:val="28"/>
        </w:rPr>
        <w:t xml:space="preserve">ы вознаграждения каждому члену научного коллектива не должны превышать 30 процентов от суммы выплат ежегодного вознаграждения всем членам научного коллектива) (требование распространяется на участников конкурса на получение грантов Российского научного фон</w:t>
      </w:r>
      <w:r>
        <w:rPr>
          <w:rFonts w:ascii="Times New Roman" w:hAnsi="Times New Roman" w:cs="Times New Roman"/>
          <w:sz w:val="28"/>
          <w:szCs w:val="28"/>
        </w:rPr>
        <w:t xml:space="preserve">да по приоритетному направлению деятельности Российского научного фонда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Проведение фундаментальных научных исследований и поисковых научных исследований отдельными научными группами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конкурс);</w:t>
      </w:r>
      <w:r/>
    </w:p>
    <w:p>
      <w:pPr>
        <w:pStyle w:val="884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2) вознаграждение за выполнение работ по Проекту членам научного коллектива в возрасте до 39 лет (включительно) (выплаты не должны быть менее 35 процентов от суммы ежегодных выплат всем членам научного коллектива);</w:t>
      </w:r>
      <w:r/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3) вознаграждение за выполнение работ по </w:t>
      </w:r>
      <w:r>
        <w:rPr>
          <w:rFonts w:ascii="Times New Roman" w:hAnsi="Times New Roman" w:cs="Times New Roman"/>
          <w:sz w:val="28"/>
          <w:szCs w:val="28"/>
        </w:rPr>
        <w:t xml:space="preserve">Проекту лицам категории «вспомогательный персонал» (с учетом страховых взносов во внебюджетные фонды).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 Закупка работ и услуг, в том числе:</w:t>
      </w:r>
      <w:r/>
    </w:p>
    <w:p>
      <w:pPr>
        <w:pStyle w:val="884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1) расходы на проведение сторонними организациями научно-исследовательских работ, направленных на выполнение Проек</w:t>
      </w:r>
      <w:r>
        <w:rPr>
          <w:rFonts w:ascii="Times New Roman" w:hAnsi="Times New Roman" w:cs="Times New Roman"/>
          <w:sz w:val="28"/>
          <w:szCs w:val="28"/>
        </w:rPr>
        <w:t xml:space="preserve">та (не более 15 процентов от суммы Гранта);</w:t>
      </w:r>
      <w:r/>
    </w:p>
    <w:p>
      <w:pPr>
        <w:pStyle w:val="884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2) расходы, связанные с поездками руководителя научного коллектива и членов научного коллектива в целях реализации Проекта за пределы </w:t>
      </w:r>
      <w:r>
        <w:rPr>
          <w:rFonts w:ascii="Times New Roman" w:hAnsi="Times New Roman" w:cs="Times New Roman"/>
          <w:sz w:val="28"/>
          <w:szCs w:val="28"/>
        </w:rPr>
        <w:t xml:space="preserve">населенного пункта, в котором проживает руководитель научного коллектива и (ил</w:t>
      </w:r>
      <w:r>
        <w:rPr>
          <w:rFonts w:ascii="Times New Roman" w:hAnsi="Times New Roman" w:cs="Times New Roman"/>
          <w:sz w:val="28"/>
          <w:szCs w:val="28"/>
        </w:rPr>
        <w:t xml:space="preserve">и) члены научного коллектива, и обратно: поездки для подготовки и (или) участия в мероприятии, целью которого является представление результатов реализации проекта (далее –</w:t>
      </w:r>
      <w:bookmarkStart w:id="3" w:name="_GoBack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 мероприятие, проект), выполнения работ по проекту, если работы выполняются в органи</w:t>
      </w:r>
      <w:r>
        <w:rPr>
          <w:rFonts w:ascii="Times New Roman" w:hAnsi="Times New Roman" w:cs="Times New Roman"/>
          <w:sz w:val="28"/>
          <w:szCs w:val="28"/>
        </w:rPr>
        <w:t xml:space="preserve">зации, не являющейся постоянным местом работы руководителя научного коллектива и (или) членов научного коллектива, в экспедиции и (или) на полевые исследования.</w:t>
      </w:r>
      <w:r/>
    </w:p>
    <w:p>
      <w:pPr>
        <w:pStyle w:val="884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 Закупка непроизведенных активов, нематериальных активов, материальных запасов и основных средств, в том числе:</w:t>
      </w:r>
      <w:r/>
    </w:p>
    <w:p>
      <w:pPr>
        <w:pStyle w:val="884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1) расходы на приобретение оборудования и иного имущества, необходимых для проведения научного исследования (включая обучение работников, монт</w:t>
      </w:r>
      <w:r>
        <w:rPr>
          <w:rFonts w:ascii="Times New Roman" w:hAnsi="Times New Roman" w:cs="Times New Roman"/>
          <w:sz w:val="28"/>
          <w:szCs w:val="28"/>
        </w:rPr>
        <w:t xml:space="preserve">ажные, пусконаладочные и ремонтные работы, не связанные с осуществлением текущей деятельности Грантополучателя);</w:t>
      </w:r>
      <w:r/>
    </w:p>
    <w:p>
      <w:pPr>
        <w:pStyle w:val="884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2) расходы на приобретение материалов и комплектующих для проведения научного исследования по Проекту.</w:t>
      </w:r>
      <w:r/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4. Накладные расходы Грантополучателя (н</w:t>
      </w:r>
      <w:r>
        <w:rPr>
          <w:rFonts w:ascii="Times New Roman" w:hAnsi="Times New Roman" w:cs="Times New Roman"/>
          <w:sz w:val="28"/>
          <w:szCs w:val="28"/>
        </w:rPr>
        <w:t xml:space="preserve">е более 10 процентов от суммы Гранта).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5" w:h="16838" w:orient="portrait"/>
      <w:pgMar w:top="1134" w:right="706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31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pPr>
      <w:spacing w:after="160" w:line="259" w:lineRule="auto"/>
    </w:pPr>
    <w:rPr>
      <w:sz w:val="22"/>
      <w:szCs w:val="22"/>
    </w:rPr>
  </w:style>
  <w:style w:type="paragraph" w:styleId="688">
    <w:name w:val="Heading 1"/>
    <w:basedOn w:val="687"/>
    <w:next w:val="687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uiPriority w:val="10"/>
    <w:rPr>
      <w:sz w:val="48"/>
      <w:szCs w:val="48"/>
    </w:rPr>
  </w:style>
  <w:style w:type="character" w:styleId="710" w:customStyle="1">
    <w:name w:val="Subtitle Char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687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rPr>
      <w:lang w:eastAsia="zh-CN"/>
    </w:rPr>
  </w:style>
  <w:style w:type="paragraph" w:styleId="726">
    <w:name w:val="Title"/>
    <w:basedOn w:val="687"/>
    <w:next w:val="687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Заголовок Знак"/>
    <w:link w:val="726"/>
    <w:uiPriority w:val="10"/>
    <w:rPr>
      <w:sz w:val="48"/>
      <w:szCs w:val="48"/>
    </w:rPr>
  </w:style>
  <w:style w:type="paragraph" w:styleId="728">
    <w:name w:val="Subtitle"/>
    <w:basedOn w:val="687"/>
    <w:next w:val="687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link w:val="728"/>
    <w:uiPriority w:val="11"/>
    <w:rPr>
      <w:sz w:val="24"/>
      <w:szCs w:val="24"/>
    </w:rPr>
  </w:style>
  <w:style w:type="paragraph" w:styleId="730">
    <w:name w:val="Quote"/>
    <w:basedOn w:val="687"/>
    <w:next w:val="687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87"/>
    <w:next w:val="687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687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5" w:customStyle="1">
    <w:name w:val="Header Char"/>
    <w:uiPriority w:val="99"/>
  </w:style>
  <w:style w:type="paragraph" w:styleId="736">
    <w:name w:val="Footer"/>
    <w:basedOn w:val="687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7" w:customStyle="1">
    <w:name w:val="Footer Char"/>
    <w:uiPriority w:val="99"/>
  </w:style>
  <w:style w:type="paragraph" w:styleId="73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9" w:customStyle="1">
    <w:name w:val="Caption Char"/>
    <w:uiPriority w:val="99"/>
  </w:style>
  <w:style w:type="table" w:styleId="740">
    <w:name w:val="Table Grid"/>
    <w:basedOn w:val="698"/>
    <w:uiPriority w:val="39"/>
    <w:rPr>
      <w:rFonts w:eastAsia="Times New Roman"/>
      <w:sz w:val="22"/>
      <w:szCs w:val="22"/>
      <w:lang w:eastAsia="en-US"/>
    </w:rPr>
    <w:tblPr/>
  </w:style>
  <w:style w:type="table" w:styleId="74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6">
    <w:name w:val="Hyperlink"/>
    <w:uiPriority w:val="99"/>
    <w:unhideWhenUsed/>
    <w:rPr>
      <w:color w:val="0563c1"/>
      <w:u w:val="single"/>
    </w:rPr>
  </w:style>
  <w:style w:type="paragraph" w:styleId="867">
    <w:name w:val="footnote text"/>
    <w:basedOn w:val="687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687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687"/>
    <w:next w:val="687"/>
    <w:uiPriority w:val="39"/>
    <w:unhideWhenUsed/>
    <w:pPr>
      <w:spacing w:after="57"/>
    </w:pPr>
  </w:style>
  <w:style w:type="paragraph" w:styleId="874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75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76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77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78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79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80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81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  <w:rPr>
      <w:lang w:eastAsia="zh-CN"/>
    </w:rPr>
  </w:style>
  <w:style w:type="paragraph" w:styleId="883">
    <w:name w:val="table of figures"/>
    <w:basedOn w:val="687"/>
    <w:next w:val="687"/>
    <w:uiPriority w:val="99"/>
    <w:unhideWhenUsed/>
    <w:pPr>
      <w:spacing w:after="0"/>
    </w:pPr>
  </w:style>
  <w:style w:type="paragraph" w:styleId="884" w:customStyle="1">
    <w:name w:val="ConsPlusNormal"/>
    <w:link w:val="892"/>
    <w:pPr>
      <w:widowControl w:val="off"/>
    </w:pPr>
    <w:rPr>
      <w:rFonts w:eastAsia="Times New Roman" w:cs="Calibri"/>
      <w:sz w:val="22"/>
      <w:szCs w:val="22"/>
    </w:rPr>
  </w:style>
  <w:style w:type="paragraph" w:styleId="885" w:customStyle="1">
    <w:name w:val="ConsPlusNonformat"/>
    <w:pPr>
      <w:widowControl w:val="off"/>
    </w:pPr>
    <w:rPr>
      <w:rFonts w:ascii="Courier New" w:hAnsi="Courier New" w:eastAsia="Times New Roman" w:cs="Courier New"/>
      <w:szCs w:val="22"/>
    </w:rPr>
  </w:style>
  <w:style w:type="paragraph" w:styleId="886" w:customStyle="1">
    <w:name w:val="ConsPlusTitle"/>
    <w:pPr>
      <w:widowControl w:val="off"/>
    </w:pPr>
    <w:rPr>
      <w:rFonts w:eastAsia="Times New Roman" w:cs="Calibri"/>
      <w:b/>
      <w:sz w:val="22"/>
      <w:szCs w:val="22"/>
    </w:rPr>
  </w:style>
  <w:style w:type="paragraph" w:styleId="887" w:customStyle="1">
    <w:name w:val="ConsPlusCell"/>
    <w:pPr>
      <w:widowControl w:val="off"/>
    </w:pPr>
    <w:rPr>
      <w:rFonts w:ascii="Courier New" w:hAnsi="Courier New" w:eastAsia="Times New Roman" w:cs="Courier New"/>
      <w:szCs w:val="22"/>
    </w:rPr>
  </w:style>
  <w:style w:type="paragraph" w:styleId="888" w:customStyle="1">
    <w:name w:val="ConsPlusDocList"/>
    <w:pPr>
      <w:widowControl w:val="off"/>
    </w:pPr>
    <w:rPr>
      <w:rFonts w:eastAsia="Times New Roman" w:cs="Calibri"/>
      <w:sz w:val="22"/>
      <w:szCs w:val="22"/>
    </w:rPr>
  </w:style>
  <w:style w:type="paragraph" w:styleId="889" w:customStyle="1">
    <w:name w:val="ConsPlusTitlePage"/>
    <w:pPr>
      <w:widowControl w:val="off"/>
    </w:pPr>
    <w:rPr>
      <w:rFonts w:ascii="Tahoma" w:hAnsi="Tahoma" w:eastAsia="Times New Roman" w:cs="Tahoma"/>
      <w:szCs w:val="22"/>
    </w:rPr>
  </w:style>
  <w:style w:type="paragraph" w:styleId="890" w:customStyle="1">
    <w:name w:val="ConsPlusJurTerm"/>
    <w:pPr>
      <w:widowControl w:val="off"/>
    </w:pPr>
    <w:rPr>
      <w:rFonts w:ascii="Tahoma" w:hAnsi="Tahoma" w:eastAsia="Times New Roman" w:cs="Tahoma"/>
      <w:sz w:val="26"/>
      <w:szCs w:val="22"/>
    </w:rPr>
  </w:style>
  <w:style w:type="paragraph" w:styleId="891" w:customStyle="1">
    <w:name w:val="ConsPlusTextList"/>
    <w:pPr>
      <w:widowControl w:val="off"/>
    </w:pPr>
    <w:rPr>
      <w:rFonts w:ascii="Arial" w:hAnsi="Arial" w:eastAsia="Times New Roman" w:cs="Arial"/>
      <w:szCs w:val="22"/>
    </w:rPr>
  </w:style>
  <w:style w:type="character" w:styleId="892" w:customStyle="1">
    <w:name w:val="ConsPlusNormal Знак"/>
    <w:link w:val="884"/>
    <w:rPr>
      <w:rFonts w:eastAsia="Times New Roman" w:cs="Calibri"/>
      <w:sz w:val="22"/>
      <w:szCs w:val="22"/>
    </w:rPr>
  </w:style>
  <w:style w:type="character" w:styleId="893" w:customStyle="1">
    <w:name w:val="Верхний колонтитул Знак"/>
    <w:link w:val="734"/>
    <w:uiPriority w:val="99"/>
    <w:rPr>
      <w:sz w:val="22"/>
      <w:szCs w:val="22"/>
    </w:rPr>
  </w:style>
  <w:style w:type="character" w:styleId="894" w:customStyle="1">
    <w:name w:val="Нижний колонтитул Знак"/>
    <w:link w:val="736"/>
    <w:uiPriority w:val="99"/>
    <w:rPr>
      <w:sz w:val="22"/>
      <w:szCs w:val="22"/>
    </w:rPr>
  </w:style>
  <w:style w:type="character" w:styleId="895">
    <w:name w:val="annotation reference"/>
    <w:uiPriority w:val="99"/>
    <w:semiHidden/>
    <w:unhideWhenUsed/>
    <w:rPr>
      <w:sz w:val="16"/>
      <w:szCs w:val="16"/>
    </w:rPr>
  </w:style>
  <w:style w:type="paragraph" w:styleId="896">
    <w:name w:val="annotation text"/>
    <w:basedOn w:val="687"/>
    <w:link w:val="897"/>
    <w:uiPriority w:val="99"/>
    <w:semiHidden/>
    <w:unhideWhenUsed/>
    <w:rPr>
      <w:sz w:val="20"/>
      <w:szCs w:val="20"/>
    </w:rPr>
  </w:style>
  <w:style w:type="character" w:styleId="897" w:customStyle="1">
    <w:name w:val="Текст примечания Знак"/>
    <w:basedOn w:val="697"/>
    <w:link w:val="896"/>
    <w:uiPriority w:val="99"/>
    <w:semiHidden/>
  </w:style>
  <w:style w:type="paragraph" w:styleId="898">
    <w:name w:val="annotation subject"/>
    <w:basedOn w:val="896"/>
    <w:next w:val="896"/>
    <w:link w:val="899"/>
    <w:uiPriority w:val="99"/>
    <w:semiHidden/>
    <w:unhideWhenUsed/>
    <w:rPr>
      <w:b/>
      <w:bCs/>
    </w:rPr>
  </w:style>
  <w:style w:type="character" w:styleId="899" w:customStyle="1">
    <w:name w:val="Тема примечания Знак"/>
    <w:link w:val="898"/>
    <w:uiPriority w:val="99"/>
    <w:semiHidden/>
    <w:rPr>
      <w:b/>
      <w:bCs/>
    </w:rPr>
  </w:style>
  <w:style w:type="paragraph" w:styleId="900">
    <w:name w:val="Balloon Text"/>
    <w:basedOn w:val="687"/>
    <w:link w:val="90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semiHidden/>
    <w:rPr>
      <w:rFonts w:ascii="Segoe UI" w:hAnsi="Segoe UI" w:cs="Segoe UI"/>
      <w:sz w:val="18"/>
      <w:szCs w:val="18"/>
    </w:rPr>
  </w:style>
  <w:style w:type="character" w:styleId="902" w:customStyle="1">
    <w:name w:val="Гиперссылка1"/>
    <w:rPr>
      <w:rFonts w:cs="Times New Roman"/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consultantplus://offline/ref=00FDD5A5C614B2BE5D8CEAF2166A2567DCBD09F2A24785777272548AC75C4F1327797BB134A5929025433637BD92159BB4F6EF62107DE520C20E87206546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42</cp:revision>
  <dcterms:created xsi:type="dcterms:W3CDTF">2024-04-09T06:02:00Z</dcterms:created>
  <dcterms:modified xsi:type="dcterms:W3CDTF">2024-06-10T08:16:02Z</dcterms:modified>
  <cp:version>1048576</cp:version>
</cp:coreProperties>
</file>