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03" w:rsidRPr="003413F9" w:rsidRDefault="00125003" w:rsidP="00874750">
      <w:pPr>
        <w:pStyle w:val="ConsPlusNormal"/>
        <w:ind w:left="10490"/>
        <w:jc w:val="center"/>
        <w:outlineLvl w:val="0"/>
        <w:rPr>
          <w:szCs w:val="28"/>
        </w:rPr>
      </w:pPr>
      <w:r>
        <w:rPr>
          <w:szCs w:val="28"/>
        </w:rPr>
        <w:t>ПРИЛОЖЕНИЕ № </w:t>
      </w:r>
      <w:r w:rsidR="00054D47">
        <w:rPr>
          <w:szCs w:val="28"/>
        </w:rPr>
        <w:t>3</w:t>
      </w:r>
      <w:bookmarkStart w:id="0" w:name="_GoBack"/>
      <w:bookmarkEnd w:id="0"/>
    </w:p>
    <w:p w:rsidR="00125003" w:rsidRDefault="00125003" w:rsidP="00874750">
      <w:pPr>
        <w:pStyle w:val="ConsPlusNormal"/>
        <w:ind w:left="10490"/>
        <w:jc w:val="center"/>
        <w:outlineLvl w:val="0"/>
        <w:rPr>
          <w:szCs w:val="28"/>
        </w:rPr>
      </w:pPr>
      <w:r>
        <w:rPr>
          <w:szCs w:val="28"/>
        </w:rPr>
        <w:t xml:space="preserve">к постановлению Правительства </w:t>
      </w:r>
    </w:p>
    <w:p w:rsidR="00125003" w:rsidRDefault="00125003" w:rsidP="00874750">
      <w:pPr>
        <w:pStyle w:val="ConsPlusNormal"/>
        <w:ind w:left="10490"/>
        <w:jc w:val="center"/>
        <w:outlineLvl w:val="0"/>
        <w:rPr>
          <w:szCs w:val="28"/>
        </w:rPr>
      </w:pPr>
      <w:r>
        <w:rPr>
          <w:szCs w:val="28"/>
        </w:rPr>
        <w:t>от ____________ № ________</w:t>
      </w:r>
    </w:p>
    <w:p w:rsidR="00125003" w:rsidRDefault="00125003" w:rsidP="00874750">
      <w:pPr>
        <w:pStyle w:val="ConsPlusNormal"/>
        <w:ind w:left="10490"/>
        <w:jc w:val="center"/>
        <w:outlineLvl w:val="0"/>
        <w:rPr>
          <w:szCs w:val="28"/>
        </w:rPr>
      </w:pPr>
    </w:p>
    <w:p w:rsidR="00125003" w:rsidRDefault="00125003" w:rsidP="00874750">
      <w:pPr>
        <w:pStyle w:val="ConsPlusNormal"/>
        <w:ind w:left="10490"/>
        <w:jc w:val="center"/>
        <w:outlineLvl w:val="0"/>
        <w:rPr>
          <w:szCs w:val="28"/>
        </w:rPr>
      </w:pPr>
    </w:p>
    <w:p w:rsidR="006D3F33" w:rsidRPr="00A47935" w:rsidRDefault="00E00B94" w:rsidP="00874750">
      <w:pPr>
        <w:pStyle w:val="ConsPlusNormal"/>
        <w:ind w:left="10490"/>
        <w:jc w:val="center"/>
        <w:outlineLvl w:val="0"/>
        <w:rPr>
          <w:szCs w:val="28"/>
        </w:rPr>
      </w:pPr>
      <w:r>
        <w:rPr>
          <w:szCs w:val="28"/>
        </w:rPr>
        <w:t>«</w:t>
      </w:r>
      <w:r w:rsidR="006D3F33">
        <w:rPr>
          <w:szCs w:val="28"/>
        </w:rPr>
        <w:t>УТВЕРЖДЕНЫ</w:t>
      </w:r>
    </w:p>
    <w:p w:rsidR="00B74866" w:rsidRDefault="00874750" w:rsidP="00874750">
      <w:pPr>
        <w:pStyle w:val="ConsPlusNormal"/>
        <w:ind w:left="10490"/>
        <w:jc w:val="center"/>
        <w:rPr>
          <w:szCs w:val="28"/>
        </w:rPr>
      </w:pPr>
      <w:r>
        <w:rPr>
          <w:szCs w:val="28"/>
        </w:rPr>
        <w:t>п</w:t>
      </w:r>
      <w:r w:rsidR="006D3F33" w:rsidRPr="00A47935">
        <w:rPr>
          <w:szCs w:val="28"/>
        </w:rPr>
        <w:t>остановлени</w:t>
      </w:r>
      <w:r w:rsidR="006D3F33">
        <w:rPr>
          <w:szCs w:val="28"/>
        </w:rPr>
        <w:t>ем</w:t>
      </w:r>
      <w:r>
        <w:rPr>
          <w:szCs w:val="28"/>
        </w:rPr>
        <w:t xml:space="preserve"> </w:t>
      </w:r>
      <w:r w:rsidR="006D3F33" w:rsidRPr="00A47935">
        <w:rPr>
          <w:szCs w:val="28"/>
        </w:rPr>
        <w:t>Правительства Новосибирской области</w:t>
      </w:r>
      <w:r>
        <w:rPr>
          <w:szCs w:val="28"/>
        </w:rPr>
        <w:t xml:space="preserve"> </w:t>
      </w:r>
    </w:p>
    <w:p w:rsidR="006D3F33" w:rsidRPr="00B74866" w:rsidRDefault="00B74866" w:rsidP="00874750">
      <w:pPr>
        <w:pStyle w:val="ConsPlusNormal"/>
        <w:ind w:left="10490"/>
        <w:jc w:val="center"/>
        <w:rPr>
          <w:szCs w:val="28"/>
        </w:rPr>
      </w:pPr>
      <w:r>
        <w:rPr>
          <w:szCs w:val="28"/>
        </w:rPr>
        <w:t>от</w:t>
      </w:r>
      <w:r w:rsidRPr="00B74866">
        <w:rPr>
          <w:szCs w:val="28"/>
        </w:rPr>
        <w:t xml:space="preserve"> 26</w:t>
      </w:r>
      <w:r>
        <w:rPr>
          <w:szCs w:val="28"/>
        </w:rPr>
        <w:t>.</w:t>
      </w:r>
      <w:r w:rsidRPr="00B74866">
        <w:rPr>
          <w:szCs w:val="28"/>
        </w:rPr>
        <w:t>10</w:t>
      </w:r>
      <w:r>
        <w:rPr>
          <w:szCs w:val="28"/>
        </w:rPr>
        <w:t>.</w:t>
      </w:r>
      <w:r w:rsidRPr="00B74866">
        <w:rPr>
          <w:szCs w:val="28"/>
        </w:rPr>
        <w:t>2021</w:t>
      </w:r>
      <w:r>
        <w:rPr>
          <w:szCs w:val="28"/>
        </w:rPr>
        <w:t xml:space="preserve"> № 435-п</w:t>
      </w:r>
    </w:p>
    <w:p w:rsidR="006D3F33" w:rsidRDefault="006D3F33" w:rsidP="006D3F33">
      <w:pPr>
        <w:pStyle w:val="ConsPlusNormal"/>
        <w:ind w:left="9214" w:firstLine="540"/>
        <w:rPr>
          <w:szCs w:val="28"/>
        </w:rPr>
      </w:pPr>
    </w:p>
    <w:p w:rsidR="006D3F33" w:rsidRPr="00C85268" w:rsidRDefault="006D3F33" w:rsidP="006D3F33">
      <w:pPr>
        <w:pStyle w:val="ConsPlusNormal"/>
        <w:ind w:left="9214" w:firstLine="540"/>
        <w:rPr>
          <w:szCs w:val="28"/>
        </w:rPr>
      </w:pPr>
    </w:p>
    <w:p w:rsidR="006D3F33" w:rsidRDefault="006D3F33" w:rsidP="006D3F33">
      <w:pPr>
        <w:autoSpaceDE w:val="0"/>
        <w:autoSpaceDN w:val="0"/>
        <w:adjustRightInd w:val="0"/>
        <w:spacing w:line="240" w:lineRule="auto"/>
        <w:jc w:val="center"/>
        <w:rPr>
          <w:rFonts w:ascii="Times New Roman" w:hAnsi="Times New Roman" w:cs="Times New Roman"/>
          <w:b/>
          <w:sz w:val="28"/>
          <w:szCs w:val="28"/>
        </w:rPr>
      </w:pPr>
      <w:bookmarkStart w:id="1" w:name="P36"/>
      <w:bookmarkEnd w:id="1"/>
      <w:r>
        <w:rPr>
          <w:rFonts w:ascii="Times New Roman" w:hAnsi="Times New Roman" w:cs="Times New Roman"/>
          <w:b/>
          <w:bCs/>
          <w:sz w:val="28"/>
          <w:szCs w:val="28"/>
        </w:rPr>
        <w:t>И</w:t>
      </w:r>
      <w:r w:rsidRPr="00A47935">
        <w:rPr>
          <w:rFonts w:ascii="Times New Roman" w:hAnsi="Times New Roman" w:cs="Times New Roman"/>
          <w:b/>
          <w:bCs/>
          <w:sz w:val="28"/>
          <w:szCs w:val="28"/>
        </w:rPr>
        <w:t>ндикативны</w:t>
      </w:r>
      <w:r>
        <w:rPr>
          <w:rFonts w:ascii="Times New Roman" w:hAnsi="Times New Roman" w:cs="Times New Roman"/>
          <w:b/>
          <w:bCs/>
          <w:sz w:val="28"/>
          <w:szCs w:val="28"/>
        </w:rPr>
        <w:t>е показатели</w:t>
      </w:r>
      <w:r w:rsidRPr="00A47935">
        <w:rPr>
          <w:rFonts w:ascii="Times New Roman" w:hAnsi="Times New Roman" w:cs="Times New Roman"/>
          <w:b/>
          <w:bCs/>
          <w:sz w:val="28"/>
          <w:szCs w:val="28"/>
        </w:rPr>
        <w:t xml:space="preserve">, </w:t>
      </w:r>
      <w:r w:rsidRPr="00A47935">
        <w:rPr>
          <w:rFonts w:ascii="Times New Roman" w:hAnsi="Times New Roman" w:cs="Times New Roman"/>
          <w:b/>
          <w:sz w:val="28"/>
          <w:szCs w:val="28"/>
        </w:rPr>
        <w:t>применяемы</w:t>
      </w:r>
      <w:r>
        <w:rPr>
          <w:rFonts w:ascii="Times New Roman" w:hAnsi="Times New Roman" w:cs="Times New Roman"/>
          <w:b/>
          <w:sz w:val="28"/>
          <w:szCs w:val="28"/>
        </w:rPr>
        <w:t>е</w:t>
      </w:r>
      <w:r w:rsidRPr="00A47935">
        <w:rPr>
          <w:rFonts w:ascii="Times New Roman" w:hAnsi="Times New Roman" w:cs="Times New Roman"/>
          <w:b/>
          <w:sz w:val="28"/>
          <w:szCs w:val="28"/>
        </w:rPr>
        <w:t xml:space="preserve"> при осуществлении</w:t>
      </w:r>
    </w:p>
    <w:p w:rsidR="006D3F33" w:rsidRPr="00C85268" w:rsidRDefault="006D3F33" w:rsidP="006D3F33">
      <w:pPr>
        <w:autoSpaceDE w:val="0"/>
        <w:autoSpaceDN w:val="0"/>
        <w:adjustRightInd w:val="0"/>
        <w:spacing w:line="240" w:lineRule="auto"/>
        <w:jc w:val="center"/>
        <w:rPr>
          <w:rFonts w:ascii="Times New Roman" w:hAnsi="Times New Roman" w:cs="Times New Roman"/>
          <w:sz w:val="28"/>
          <w:szCs w:val="28"/>
        </w:rPr>
      </w:pPr>
      <w:r w:rsidRPr="00A47935">
        <w:rPr>
          <w:rFonts w:ascii="Times New Roman" w:hAnsi="Times New Roman" w:cs="Times New Roman"/>
          <w:b/>
          <w:sz w:val="28"/>
          <w:szCs w:val="28"/>
        </w:rPr>
        <w:t>регионального государственного строительного надзора</w:t>
      </w:r>
      <w:r>
        <w:rPr>
          <w:rFonts w:ascii="Times New Roman" w:hAnsi="Times New Roman" w:cs="Times New Roman"/>
          <w:b/>
          <w:sz w:val="28"/>
          <w:szCs w:val="28"/>
        </w:rPr>
        <w:t xml:space="preserve"> на территории Новосибирской области</w:t>
      </w:r>
    </w:p>
    <w:p w:rsidR="006D3F33" w:rsidRPr="00C85268" w:rsidRDefault="006D3F33" w:rsidP="006D3F33">
      <w:pPr>
        <w:rPr>
          <w:rFonts w:ascii="Times New Roman" w:hAnsi="Times New Roman" w:cs="Times New Roman"/>
          <w:sz w:val="28"/>
          <w:szCs w:val="28"/>
        </w:rPr>
      </w:pPr>
    </w:p>
    <w:tbl>
      <w:tblPr>
        <w:tblW w:w="1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5"/>
        <w:gridCol w:w="6662"/>
        <w:gridCol w:w="7670"/>
      </w:tblGrid>
      <w:tr w:rsidR="006D3F33" w:rsidRPr="00C85268" w:rsidTr="001E18DE">
        <w:trPr>
          <w:jc w:val="center"/>
        </w:trPr>
        <w:tc>
          <w:tcPr>
            <w:tcW w:w="1465" w:type="dxa"/>
          </w:tcPr>
          <w:p w:rsidR="006D3F33" w:rsidRPr="00D3503E" w:rsidRDefault="006D3F33" w:rsidP="00754A88">
            <w:pPr>
              <w:pStyle w:val="ConsPlusNormal"/>
              <w:jc w:val="center"/>
              <w:rPr>
                <w:sz w:val="24"/>
                <w:szCs w:val="24"/>
              </w:rPr>
            </w:pPr>
            <w:r w:rsidRPr="00D3503E">
              <w:rPr>
                <w:sz w:val="24"/>
                <w:szCs w:val="24"/>
              </w:rPr>
              <w:t>Номер (индекс) показателя</w:t>
            </w:r>
          </w:p>
        </w:tc>
        <w:tc>
          <w:tcPr>
            <w:tcW w:w="6662" w:type="dxa"/>
          </w:tcPr>
          <w:p w:rsidR="006D3F33" w:rsidRPr="00D3503E" w:rsidRDefault="006D3F33" w:rsidP="00754A88">
            <w:pPr>
              <w:pStyle w:val="ConsPlusNormal"/>
              <w:jc w:val="center"/>
              <w:rPr>
                <w:sz w:val="24"/>
                <w:szCs w:val="24"/>
              </w:rPr>
            </w:pPr>
            <w:r w:rsidRPr="00D3503E">
              <w:rPr>
                <w:sz w:val="24"/>
                <w:szCs w:val="24"/>
              </w:rPr>
              <w:t>Наименование показателя (группы показателей)</w:t>
            </w:r>
          </w:p>
        </w:tc>
        <w:tc>
          <w:tcPr>
            <w:tcW w:w="7670" w:type="dxa"/>
          </w:tcPr>
          <w:p w:rsidR="006D3F33" w:rsidRPr="00D3503E" w:rsidRDefault="006D3F33" w:rsidP="00754A88">
            <w:pPr>
              <w:pStyle w:val="ConsPlusNormal"/>
              <w:jc w:val="center"/>
              <w:rPr>
                <w:sz w:val="24"/>
                <w:szCs w:val="24"/>
              </w:rPr>
            </w:pPr>
            <w:r w:rsidRPr="00D3503E">
              <w:rPr>
                <w:sz w:val="24"/>
                <w:szCs w:val="24"/>
              </w:rPr>
              <w:t>Порядок расчета показателя. Источник показателя</w:t>
            </w:r>
          </w:p>
        </w:tc>
      </w:tr>
      <w:tr w:rsidR="006D3F33" w:rsidRPr="00C85268" w:rsidTr="00430C95">
        <w:trPr>
          <w:jc w:val="center"/>
        </w:trPr>
        <w:tc>
          <w:tcPr>
            <w:tcW w:w="1465" w:type="dxa"/>
          </w:tcPr>
          <w:p w:rsidR="006D3F33" w:rsidRPr="00D3503E" w:rsidRDefault="006D3F33" w:rsidP="00754A88">
            <w:pPr>
              <w:pStyle w:val="ConsPlusNormal"/>
              <w:jc w:val="center"/>
              <w:rPr>
                <w:sz w:val="24"/>
                <w:szCs w:val="24"/>
              </w:rPr>
            </w:pPr>
          </w:p>
        </w:tc>
        <w:tc>
          <w:tcPr>
            <w:tcW w:w="14332" w:type="dxa"/>
            <w:gridSpan w:val="2"/>
          </w:tcPr>
          <w:p w:rsidR="006D3F33" w:rsidRPr="00D3503E" w:rsidRDefault="006D3F33" w:rsidP="00572FE5">
            <w:pPr>
              <w:pStyle w:val="ConsPlusNormal"/>
              <w:jc w:val="center"/>
              <w:outlineLvl w:val="2"/>
              <w:rPr>
                <w:sz w:val="24"/>
                <w:szCs w:val="24"/>
              </w:rPr>
            </w:pPr>
            <w:r w:rsidRPr="00D3503E">
              <w:rPr>
                <w:sz w:val="24"/>
                <w:szCs w:val="24"/>
              </w:rPr>
              <w:t>Индикативные показатели</w:t>
            </w:r>
          </w:p>
        </w:tc>
      </w:tr>
      <w:tr w:rsidR="00D85E9D" w:rsidRPr="00C85268" w:rsidTr="00430C95">
        <w:trPr>
          <w:jc w:val="center"/>
        </w:trPr>
        <w:tc>
          <w:tcPr>
            <w:tcW w:w="1465" w:type="dxa"/>
          </w:tcPr>
          <w:p w:rsidR="00D85E9D" w:rsidRPr="00D3503E" w:rsidRDefault="00D85E9D" w:rsidP="00B74866">
            <w:pPr>
              <w:pStyle w:val="ConsPlusNormal"/>
              <w:jc w:val="center"/>
              <w:rPr>
                <w:sz w:val="24"/>
                <w:szCs w:val="24"/>
              </w:rPr>
            </w:pPr>
            <w:r w:rsidRPr="00D3503E">
              <w:rPr>
                <w:sz w:val="24"/>
                <w:szCs w:val="24"/>
              </w:rPr>
              <w:t>Б</w:t>
            </w:r>
          </w:p>
        </w:tc>
        <w:tc>
          <w:tcPr>
            <w:tcW w:w="14332" w:type="dxa"/>
            <w:gridSpan w:val="2"/>
          </w:tcPr>
          <w:p w:rsidR="00D85E9D" w:rsidRPr="00D3503E" w:rsidRDefault="00D85E9D" w:rsidP="00D85E9D">
            <w:pPr>
              <w:pStyle w:val="ConsPlusNormal"/>
              <w:jc w:val="both"/>
              <w:outlineLvl w:val="2"/>
              <w:rPr>
                <w:sz w:val="24"/>
                <w:szCs w:val="24"/>
              </w:rPr>
            </w:pPr>
            <w:proofErr w:type="gramStart"/>
            <w:r w:rsidRPr="00D3503E">
              <w:rPr>
                <w:sz w:val="24"/>
                <w:szCs w:val="24"/>
              </w:rPr>
              <w:t>Показатели</w:t>
            </w:r>
            <w:proofErr w:type="gramEnd"/>
            <w:r w:rsidRPr="00D3503E">
              <w:rPr>
                <w:sz w:val="24"/>
                <w:szCs w:val="24"/>
              </w:rPr>
              <w:t xml:space="preserve"> </w:t>
            </w:r>
            <w:r w:rsidR="00125003" w:rsidRPr="00D3503E">
              <w:rPr>
                <w:sz w:val="24"/>
                <w:szCs w:val="24"/>
              </w:rPr>
              <w:t>характеризующие анализ и оценку эффективности регионального государственного строительного контроля (надзора)</w:t>
            </w:r>
          </w:p>
        </w:tc>
      </w:tr>
      <w:tr w:rsidR="001E18DE" w:rsidRPr="00C85268" w:rsidTr="001E18DE">
        <w:trPr>
          <w:jc w:val="center"/>
        </w:trPr>
        <w:tc>
          <w:tcPr>
            <w:tcW w:w="1465" w:type="dxa"/>
          </w:tcPr>
          <w:p w:rsidR="001E18DE" w:rsidRPr="00D3503E" w:rsidRDefault="001E18DE" w:rsidP="00B74866">
            <w:pPr>
              <w:pStyle w:val="ConsPlusNormal"/>
              <w:jc w:val="center"/>
              <w:rPr>
                <w:sz w:val="24"/>
                <w:szCs w:val="24"/>
              </w:rPr>
            </w:pPr>
            <w:r w:rsidRPr="00D3503E">
              <w:rPr>
                <w:sz w:val="24"/>
                <w:szCs w:val="24"/>
              </w:rPr>
              <w:t>Б.1</w:t>
            </w:r>
          </w:p>
        </w:tc>
        <w:tc>
          <w:tcPr>
            <w:tcW w:w="6662" w:type="dxa"/>
          </w:tcPr>
          <w:p w:rsidR="001E18DE" w:rsidRPr="00D3503E" w:rsidRDefault="001E18DE" w:rsidP="001E18DE">
            <w:pPr>
              <w:pStyle w:val="ConsPlusNormal"/>
              <w:rPr>
                <w:sz w:val="24"/>
                <w:szCs w:val="24"/>
              </w:rPr>
            </w:pPr>
            <w:r w:rsidRPr="00D3503E">
              <w:rPr>
                <w:sz w:val="24"/>
                <w:szCs w:val="24"/>
              </w:rPr>
              <w:t>доля жалоб на решения инспекции, действия (бездействие) должностных лиц при проведении контрольных (надзорных) мероприятий</w:t>
            </w:r>
          </w:p>
        </w:tc>
        <w:tc>
          <w:tcPr>
            <w:tcW w:w="7670" w:type="dxa"/>
          </w:tcPr>
          <w:p w:rsidR="001E18DE" w:rsidRPr="00D3503E" w:rsidRDefault="001E18DE" w:rsidP="001E18DE">
            <w:pPr>
              <w:pStyle w:val="ConsPlusNormal"/>
              <w:jc w:val="both"/>
              <w:rPr>
                <w:sz w:val="24"/>
                <w:szCs w:val="24"/>
              </w:rPr>
            </w:pPr>
            <m:oMathPara>
              <m:oMathParaPr>
                <m:jc m:val="left"/>
              </m:oMathParaPr>
              <m:oMath>
                <m:r>
                  <m:rPr>
                    <m:nor/>
                  </m:rPr>
                  <w:rPr>
                    <w:sz w:val="24"/>
                    <w:szCs w:val="24"/>
                  </w:rPr>
                  <m:t>Б.1=</m:t>
                </m:r>
                <m:f>
                  <m:fPr>
                    <m:ctrlPr>
                      <w:rPr>
                        <w:rFonts w:ascii="Cambria Math" w:eastAsiaTheme="minorHAnsi" w:hAnsi="Cambria Math"/>
                        <w:sz w:val="24"/>
                        <w:szCs w:val="24"/>
                        <w:lang w:eastAsia="en-US"/>
                      </w:rPr>
                    </m:ctrlPr>
                  </m:fPr>
                  <m:num>
                    <m:d>
                      <m:dPr>
                        <m:ctrlPr>
                          <w:rPr>
                            <w:rFonts w:ascii="Cambria Math" w:hAnsi="Cambria Math"/>
                            <w:sz w:val="24"/>
                            <w:szCs w:val="24"/>
                          </w:rPr>
                        </m:ctrlPr>
                      </m:dPr>
                      <m:e>
                        <m:r>
                          <m:rPr>
                            <m:nor/>
                          </m:rPr>
                          <w:rPr>
                            <w:sz w:val="24"/>
                            <w:szCs w:val="24"/>
                          </w:rPr>
                          <m:t>В.17+В.19</m:t>
                        </m:r>
                      </m:e>
                    </m:d>
                  </m:num>
                  <m:den>
                    <m:r>
                      <m:rPr>
                        <m:nor/>
                      </m:rPr>
                      <w:rPr>
                        <w:sz w:val="24"/>
                        <w:szCs w:val="24"/>
                      </w:rPr>
                      <m:t>(В.18+В.20)</m:t>
                    </m:r>
                  </m:den>
                </m:f>
                <m:r>
                  <m:rPr>
                    <m:nor/>
                  </m:rPr>
                  <w:rPr>
                    <w:rFonts w:eastAsiaTheme="minorHAnsi"/>
                    <w:sz w:val="24"/>
                    <w:szCs w:val="24"/>
                    <w:lang w:eastAsia="en-US"/>
                  </w:rPr>
                  <m:t>×100%</m:t>
                </m:r>
              </m:oMath>
            </m:oMathPara>
          </w:p>
        </w:tc>
      </w:tr>
      <w:tr w:rsidR="001E18DE" w:rsidRPr="00C85268" w:rsidTr="001E18DE">
        <w:trPr>
          <w:jc w:val="center"/>
        </w:trPr>
        <w:tc>
          <w:tcPr>
            <w:tcW w:w="1465" w:type="dxa"/>
          </w:tcPr>
          <w:p w:rsidR="001E18DE" w:rsidRPr="00D3503E" w:rsidRDefault="001E18DE" w:rsidP="00B74866">
            <w:pPr>
              <w:pStyle w:val="ConsPlusNormal"/>
              <w:jc w:val="center"/>
              <w:rPr>
                <w:sz w:val="24"/>
                <w:szCs w:val="24"/>
              </w:rPr>
            </w:pPr>
            <w:r w:rsidRPr="00D3503E">
              <w:rPr>
                <w:sz w:val="24"/>
                <w:szCs w:val="24"/>
              </w:rPr>
              <w:t>Б.2</w:t>
            </w:r>
          </w:p>
        </w:tc>
        <w:tc>
          <w:tcPr>
            <w:tcW w:w="6662" w:type="dxa"/>
          </w:tcPr>
          <w:p w:rsidR="001E18DE" w:rsidRPr="00D3503E" w:rsidRDefault="001E18DE" w:rsidP="001E18DE">
            <w:pPr>
              <w:pStyle w:val="ConsPlusNormal"/>
              <w:rPr>
                <w:sz w:val="24"/>
                <w:szCs w:val="24"/>
              </w:rPr>
            </w:pPr>
            <w:r w:rsidRPr="00D3503E">
              <w:rPr>
                <w:sz w:val="24"/>
                <w:szCs w:val="24"/>
              </w:rPr>
              <w:t>доля исполненных в установленные сроки предписаний об устранении нарушений обязательных требований</w:t>
            </w:r>
          </w:p>
        </w:tc>
        <w:tc>
          <w:tcPr>
            <w:tcW w:w="7670" w:type="dxa"/>
          </w:tcPr>
          <w:p w:rsidR="001E18DE" w:rsidRPr="00D3503E" w:rsidRDefault="001E18DE" w:rsidP="001E18DE">
            <w:pPr>
              <w:pStyle w:val="ConsPlusNormal"/>
              <w:jc w:val="both"/>
              <w:rPr>
                <w:sz w:val="24"/>
                <w:szCs w:val="24"/>
              </w:rPr>
            </w:pPr>
            <m:oMathPara>
              <m:oMathParaPr>
                <m:jc m:val="left"/>
              </m:oMathParaPr>
              <m:oMath>
                <m:r>
                  <m:rPr>
                    <m:nor/>
                  </m:rPr>
                  <w:rPr>
                    <w:sz w:val="24"/>
                    <w:szCs w:val="24"/>
                  </w:rPr>
                  <m:t>Б.2=</m:t>
                </m:r>
                <m:f>
                  <m:fPr>
                    <m:ctrlPr>
                      <w:rPr>
                        <w:rFonts w:ascii="Cambria Math" w:eastAsiaTheme="minorHAnsi" w:hAnsi="Cambria Math"/>
                        <w:sz w:val="24"/>
                        <w:szCs w:val="24"/>
                        <w:lang w:eastAsia="en-US"/>
                      </w:rPr>
                    </m:ctrlPr>
                  </m:fPr>
                  <m:num>
                    <m:r>
                      <m:rPr>
                        <m:nor/>
                      </m:rPr>
                      <w:rPr>
                        <w:rFonts w:eastAsiaTheme="minorHAnsi"/>
                        <w:sz w:val="24"/>
                        <w:szCs w:val="24"/>
                        <w:lang w:eastAsia="en-US"/>
                      </w:rPr>
                      <m:t>В.12</m:t>
                    </m:r>
                  </m:num>
                  <m:den>
                    <m:r>
                      <m:rPr>
                        <m:nor/>
                      </m:rPr>
                      <w:rPr>
                        <w:sz w:val="24"/>
                        <w:szCs w:val="24"/>
                      </w:rPr>
                      <m:t>В.11</m:t>
                    </m:r>
                  </m:den>
                </m:f>
                <m:r>
                  <m:rPr>
                    <m:nor/>
                  </m:rPr>
                  <w:rPr>
                    <w:rFonts w:eastAsiaTheme="minorHAnsi"/>
                    <w:sz w:val="24"/>
                    <w:szCs w:val="24"/>
                    <w:lang w:eastAsia="en-US"/>
                  </w:rPr>
                  <m:t>×100%</m:t>
                </m:r>
              </m:oMath>
            </m:oMathPara>
          </w:p>
        </w:tc>
      </w:tr>
      <w:tr w:rsidR="001E18DE" w:rsidRPr="00C85268" w:rsidTr="001E18DE">
        <w:trPr>
          <w:jc w:val="center"/>
        </w:trPr>
        <w:tc>
          <w:tcPr>
            <w:tcW w:w="1465" w:type="dxa"/>
          </w:tcPr>
          <w:p w:rsidR="001E18DE" w:rsidRPr="00D3503E" w:rsidRDefault="001E18DE" w:rsidP="00B74866">
            <w:pPr>
              <w:pStyle w:val="ConsPlusNormal"/>
              <w:jc w:val="center"/>
              <w:rPr>
                <w:sz w:val="24"/>
                <w:szCs w:val="24"/>
              </w:rPr>
            </w:pPr>
            <w:r w:rsidRPr="00D3503E">
              <w:rPr>
                <w:sz w:val="24"/>
                <w:szCs w:val="24"/>
              </w:rPr>
              <w:t>Б.3</w:t>
            </w:r>
          </w:p>
        </w:tc>
        <w:tc>
          <w:tcPr>
            <w:tcW w:w="6662" w:type="dxa"/>
          </w:tcPr>
          <w:p w:rsidR="001E18DE" w:rsidRPr="00D3503E" w:rsidRDefault="001E18DE" w:rsidP="001E18DE">
            <w:pPr>
              <w:pStyle w:val="ConsPlusNormal"/>
              <w:rPr>
                <w:sz w:val="24"/>
                <w:szCs w:val="24"/>
              </w:rPr>
            </w:pPr>
            <w:r w:rsidRPr="00D3503E">
              <w:rPr>
                <w:sz w:val="24"/>
                <w:szCs w:val="24"/>
              </w:rPr>
              <w:t>доля контрольных (надзорных) мероприятий, проведенных по программам проверок, по результатам которых выявлены нарушения обязательных требований</w:t>
            </w:r>
          </w:p>
        </w:tc>
        <w:tc>
          <w:tcPr>
            <w:tcW w:w="7670" w:type="dxa"/>
          </w:tcPr>
          <w:p w:rsidR="001E18DE" w:rsidRPr="00D3503E" w:rsidRDefault="001E18DE" w:rsidP="001E18DE">
            <w:pPr>
              <w:pStyle w:val="ConsPlusNormal"/>
              <w:jc w:val="both"/>
              <w:rPr>
                <w:sz w:val="24"/>
                <w:szCs w:val="24"/>
              </w:rPr>
            </w:pPr>
            <m:oMathPara>
              <m:oMathParaPr>
                <m:jc m:val="left"/>
              </m:oMathParaPr>
              <m:oMath>
                <m:r>
                  <m:rPr>
                    <m:nor/>
                  </m:rPr>
                  <w:rPr>
                    <w:sz w:val="24"/>
                    <w:szCs w:val="24"/>
                  </w:rPr>
                  <m:t>Б.3=</m:t>
                </m:r>
                <m:f>
                  <m:fPr>
                    <m:ctrlPr>
                      <w:rPr>
                        <w:rFonts w:ascii="Cambria Math" w:eastAsiaTheme="minorHAnsi" w:hAnsi="Cambria Math"/>
                        <w:sz w:val="24"/>
                        <w:szCs w:val="24"/>
                        <w:lang w:eastAsia="en-US"/>
                      </w:rPr>
                    </m:ctrlPr>
                  </m:fPr>
                  <m:num>
                    <m:r>
                      <m:rPr>
                        <m:nor/>
                      </m:rPr>
                      <w:rPr>
                        <w:rFonts w:eastAsiaTheme="minorHAnsi"/>
                        <w:sz w:val="24"/>
                        <w:szCs w:val="24"/>
                        <w:lang w:eastAsia="en-US"/>
                      </w:rPr>
                      <m:t>В.3.2.1</m:t>
                    </m:r>
                  </m:num>
                  <m:den>
                    <m:r>
                      <m:rPr>
                        <m:nor/>
                      </m:rPr>
                      <w:rPr>
                        <w:sz w:val="24"/>
                        <w:szCs w:val="24"/>
                      </w:rPr>
                      <m:t>В.3.2</m:t>
                    </m:r>
                  </m:den>
                </m:f>
                <m:r>
                  <m:rPr>
                    <m:nor/>
                  </m:rPr>
                  <w:rPr>
                    <w:rFonts w:eastAsiaTheme="minorHAnsi"/>
                    <w:sz w:val="24"/>
                    <w:szCs w:val="24"/>
                    <w:lang w:eastAsia="en-US"/>
                  </w:rPr>
                  <m:t>×100%</m:t>
                </m:r>
              </m:oMath>
            </m:oMathPara>
          </w:p>
        </w:tc>
      </w:tr>
      <w:tr w:rsidR="001E18DE" w:rsidRPr="00C85268" w:rsidTr="001E18DE">
        <w:trPr>
          <w:jc w:val="center"/>
        </w:trPr>
        <w:tc>
          <w:tcPr>
            <w:tcW w:w="1465" w:type="dxa"/>
          </w:tcPr>
          <w:p w:rsidR="001E18DE" w:rsidRPr="00D3503E" w:rsidRDefault="001E18DE" w:rsidP="00B74866">
            <w:pPr>
              <w:pStyle w:val="ConsPlusNormal"/>
              <w:jc w:val="center"/>
              <w:rPr>
                <w:sz w:val="24"/>
                <w:szCs w:val="24"/>
              </w:rPr>
            </w:pPr>
            <w:r w:rsidRPr="00D3503E">
              <w:rPr>
                <w:sz w:val="24"/>
                <w:szCs w:val="24"/>
              </w:rPr>
              <w:lastRenderedPageBreak/>
              <w:t>Б.4</w:t>
            </w:r>
          </w:p>
        </w:tc>
        <w:tc>
          <w:tcPr>
            <w:tcW w:w="6662" w:type="dxa"/>
          </w:tcPr>
          <w:p w:rsidR="001E18DE" w:rsidRPr="00D3503E" w:rsidRDefault="001E18DE" w:rsidP="001E18DE">
            <w:pPr>
              <w:pStyle w:val="ConsPlusNormal"/>
              <w:rPr>
                <w:sz w:val="24"/>
                <w:szCs w:val="24"/>
              </w:rPr>
            </w:pPr>
            <w:r w:rsidRPr="00D3503E">
              <w:rPr>
                <w:sz w:val="24"/>
                <w:szCs w:val="24"/>
              </w:rPr>
              <w:t>доля взысканных штрафов</w:t>
            </w:r>
          </w:p>
        </w:tc>
        <w:tc>
          <w:tcPr>
            <w:tcW w:w="7670" w:type="dxa"/>
          </w:tcPr>
          <w:p w:rsidR="001E18DE" w:rsidRPr="00D3503E" w:rsidRDefault="001E18DE" w:rsidP="001E18DE">
            <w:pPr>
              <w:pStyle w:val="ConsPlusNormal"/>
              <w:jc w:val="both"/>
              <w:rPr>
                <w:sz w:val="24"/>
                <w:szCs w:val="24"/>
              </w:rPr>
            </w:pPr>
            <m:oMathPara>
              <m:oMathParaPr>
                <m:jc m:val="left"/>
              </m:oMathParaPr>
              <m:oMath>
                <m:r>
                  <m:rPr>
                    <m:nor/>
                  </m:rPr>
                  <w:rPr>
                    <w:sz w:val="24"/>
                    <w:szCs w:val="24"/>
                  </w:rPr>
                  <m:t>Б.4=</m:t>
                </m:r>
                <m:f>
                  <m:fPr>
                    <m:ctrlPr>
                      <w:rPr>
                        <w:rFonts w:ascii="Cambria Math" w:eastAsiaTheme="minorHAnsi" w:hAnsi="Cambria Math"/>
                        <w:sz w:val="24"/>
                        <w:szCs w:val="24"/>
                        <w:lang w:eastAsia="en-US"/>
                      </w:rPr>
                    </m:ctrlPr>
                  </m:fPr>
                  <m:num>
                    <m:r>
                      <m:rPr>
                        <m:nor/>
                      </m:rPr>
                      <w:rPr>
                        <w:rFonts w:eastAsiaTheme="minorHAnsi"/>
                        <w:sz w:val="24"/>
                        <w:szCs w:val="24"/>
                        <w:lang w:eastAsia="en-US"/>
                      </w:rPr>
                      <m:t>В.14</m:t>
                    </m:r>
                  </m:num>
                  <m:den>
                    <m:r>
                      <m:rPr>
                        <m:nor/>
                      </m:rPr>
                      <w:rPr>
                        <w:sz w:val="24"/>
                        <w:szCs w:val="24"/>
                      </w:rPr>
                      <m:t>В.13</m:t>
                    </m:r>
                  </m:den>
                </m:f>
                <m:r>
                  <m:rPr>
                    <m:nor/>
                  </m:rPr>
                  <w:rPr>
                    <w:rFonts w:eastAsiaTheme="minorHAnsi"/>
                    <w:sz w:val="24"/>
                    <w:szCs w:val="24"/>
                    <w:lang w:eastAsia="en-US"/>
                  </w:rPr>
                  <m:t>×100%</m:t>
                </m:r>
              </m:oMath>
            </m:oMathPara>
          </w:p>
        </w:tc>
      </w:tr>
      <w:tr w:rsidR="00D85E9D" w:rsidRPr="00C85268" w:rsidTr="00430C95">
        <w:trPr>
          <w:jc w:val="center"/>
        </w:trPr>
        <w:tc>
          <w:tcPr>
            <w:tcW w:w="1465" w:type="dxa"/>
          </w:tcPr>
          <w:p w:rsidR="00D85E9D" w:rsidRPr="00D3503E" w:rsidRDefault="00D85E9D" w:rsidP="00B74866">
            <w:pPr>
              <w:pStyle w:val="ConsPlusNormal"/>
              <w:jc w:val="center"/>
              <w:rPr>
                <w:sz w:val="24"/>
                <w:szCs w:val="24"/>
              </w:rPr>
            </w:pPr>
            <w:r w:rsidRPr="00D3503E">
              <w:rPr>
                <w:sz w:val="24"/>
                <w:szCs w:val="24"/>
              </w:rPr>
              <w:t>В</w:t>
            </w:r>
          </w:p>
        </w:tc>
        <w:tc>
          <w:tcPr>
            <w:tcW w:w="14332" w:type="dxa"/>
            <w:gridSpan w:val="2"/>
          </w:tcPr>
          <w:p w:rsidR="00D85E9D" w:rsidRPr="00D3503E" w:rsidRDefault="00D85E9D" w:rsidP="00B74866">
            <w:pPr>
              <w:pStyle w:val="ConsPlusNormal"/>
              <w:jc w:val="both"/>
              <w:rPr>
                <w:sz w:val="24"/>
                <w:szCs w:val="24"/>
              </w:rPr>
            </w:pPr>
            <w:r w:rsidRPr="00D3503E">
              <w:rPr>
                <w:sz w:val="24"/>
                <w:szCs w:val="24"/>
              </w:rPr>
              <w:t xml:space="preserve">Индикативные показатели, </w:t>
            </w:r>
            <w:r w:rsidR="001E18DE" w:rsidRPr="00D3503E">
              <w:rPr>
                <w:sz w:val="24"/>
                <w:szCs w:val="24"/>
              </w:rPr>
              <w:t>характеризующие количественные показатели проведения контрольных (надзорных), профилактических и иных мероприятий в рамках осуществления регионального государственного строительного контроля (надзора):</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В.1</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направленных в органы прокуратуры заявлений о согласовании проведения контрольных (надзорных) мероприятий</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В.2</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w:t>
            </w:r>
          </w:p>
        </w:tc>
      </w:tr>
      <w:tr w:rsidR="009F30C4" w:rsidRPr="00C85268" w:rsidTr="00BC20F6">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w:t>
            </w:r>
          </w:p>
        </w:tc>
        <w:tc>
          <w:tcPr>
            <w:tcW w:w="14332" w:type="dxa"/>
            <w:gridSpan w:val="2"/>
          </w:tcPr>
          <w:p w:rsidR="009F30C4" w:rsidRPr="00D3503E" w:rsidRDefault="009F30C4" w:rsidP="000605D5">
            <w:pPr>
              <w:pStyle w:val="ConsPlusNormal"/>
              <w:rPr>
                <w:sz w:val="24"/>
                <w:szCs w:val="24"/>
              </w:rPr>
            </w:pPr>
            <w:r w:rsidRPr="00D3503E">
              <w:rPr>
                <w:sz w:val="24"/>
                <w:szCs w:val="24"/>
              </w:rPr>
              <w:t>индикативные показатели, характеризующие параметры проведенных мероприятий</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В.3.1</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проведенных контрольных (надзорных) мероприятий с взаимодействием с контролируемыми лицами</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В.3.2</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контрольных (надзорных) мероприятий проведенных по программам проверок</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В.3.2.1</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контрольных (надзорных) мероприятий проведенных по программам проверок, по результатам которых выявлены нарушения обязательных требований</w:t>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В.3.3</w:t>
            </w:r>
          </w:p>
        </w:tc>
        <w:tc>
          <w:tcPr>
            <w:tcW w:w="14332" w:type="dxa"/>
            <w:gridSpan w:val="2"/>
          </w:tcPr>
          <w:p w:rsidR="009F30C4" w:rsidRPr="00D3503E" w:rsidRDefault="00B74866" w:rsidP="00B74866">
            <w:pPr>
              <w:pStyle w:val="ConsPlusNormal"/>
              <w:rPr>
                <w:sz w:val="24"/>
                <w:szCs w:val="24"/>
              </w:rPr>
            </w:pPr>
            <w:r w:rsidRPr="00D3503E">
              <w:rPr>
                <w:sz w:val="24"/>
                <w:szCs w:val="24"/>
              </w:rPr>
              <w:t>к</w:t>
            </w:r>
            <w:r w:rsidR="009F30C4" w:rsidRPr="00D3503E">
              <w:rPr>
                <w:sz w:val="24"/>
                <w:szCs w:val="24"/>
              </w:rPr>
              <w:t>оличество контрольных (надзорных) мероприятий проведенных по поручению Президента Российской Федерации, поручению Правительства Российской Федерации о проведении контрольных (надзорных) мероприятий в отношении конкретных контролируемых лиц</w:t>
            </w:r>
            <w:r w:rsidR="009F30C4" w:rsidRPr="00D3503E">
              <w:rPr>
                <w:sz w:val="24"/>
                <w:szCs w:val="24"/>
              </w:rPr>
              <w:fldChar w:fldCharType="begin"/>
            </w:r>
            <w:r w:rsidR="009F30C4" w:rsidRPr="00D3503E">
              <w:rPr>
                <w:sz w:val="24"/>
                <w:szCs w:val="24"/>
              </w:rPr>
              <w:instrText xml:space="preserve"> Б.2 = В.14 / В.13 </w:instrText>
            </w:r>
            <w:r w:rsidR="009F30C4" w:rsidRPr="00D3503E">
              <w:rPr>
                <w:sz w:val="24"/>
                <w:szCs w:val="24"/>
              </w:rPr>
              <w:fldChar w:fldCharType="end"/>
            </w:r>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В.3.4</w:t>
            </w:r>
          </w:p>
        </w:tc>
        <w:tc>
          <w:tcPr>
            <w:tcW w:w="14332" w:type="dxa"/>
            <w:gridSpan w:val="2"/>
          </w:tcPr>
          <w:p w:rsidR="009F30C4" w:rsidRPr="00D3503E" w:rsidRDefault="00B74866" w:rsidP="009C3DEA">
            <w:pPr>
              <w:pStyle w:val="ConsPlusNormal"/>
              <w:rPr>
                <w:sz w:val="24"/>
                <w:szCs w:val="24"/>
              </w:rPr>
            </w:pPr>
            <w:proofErr w:type="gramStart"/>
            <w:r w:rsidRPr="00D3503E">
              <w:rPr>
                <w:sz w:val="24"/>
                <w:szCs w:val="24"/>
              </w:rPr>
              <w:t>к</w:t>
            </w:r>
            <w:r w:rsidR="009F30C4" w:rsidRPr="00D3503E">
              <w:rPr>
                <w:sz w:val="24"/>
                <w:szCs w:val="24"/>
              </w:rPr>
              <w:t>оличество контрольных (надзорных) мероприятий проведенных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p>
        </w:tc>
      </w:tr>
      <w:tr w:rsidR="009F30C4" w:rsidRPr="00C85268" w:rsidTr="00430C95">
        <w:trPr>
          <w:jc w:val="center"/>
        </w:trPr>
        <w:tc>
          <w:tcPr>
            <w:tcW w:w="1465" w:type="dxa"/>
          </w:tcPr>
          <w:p w:rsidR="009F30C4" w:rsidRPr="00D3503E" w:rsidRDefault="009F30C4" w:rsidP="00B74866">
            <w:pPr>
              <w:pStyle w:val="ConsPlusNormal"/>
              <w:jc w:val="center"/>
              <w:rPr>
                <w:sz w:val="24"/>
                <w:szCs w:val="24"/>
              </w:rPr>
            </w:pPr>
            <w:r w:rsidRPr="00D3503E">
              <w:rPr>
                <w:sz w:val="24"/>
                <w:szCs w:val="24"/>
              </w:rPr>
              <w:t>В.3.5</w:t>
            </w:r>
          </w:p>
        </w:tc>
        <w:tc>
          <w:tcPr>
            <w:tcW w:w="14332" w:type="dxa"/>
            <w:gridSpan w:val="2"/>
          </w:tcPr>
          <w:p w:rsidR="009F30C4" w:rsidRPr="00D3503E" w:rsidRDefault="00B74866" w:rsidP="009C3DEA">
            <w:pPr>
              <w:pStyle w:val="ConsPlusNormal"/>
              <w:rPr>
                <w:sz w:val="24"/>
                <w:szCs w:val="24"/>
              </w:rPr>
            </w:pPr>
            <w:r w:rsidRPr="00D3503E">
              <w:rPr>
                <w:sz w:val="24"/>
                <w:szCs w:val="24"/>
              </w:rPr>
              <w:t>к</w:t>
            </w:r>
            <w:r w:rsidR="009F30C4" w:rsidRPr="00D3503E">
              <w:rPr>
                <w:sz w:val="24"/>
                <w:szCs w:val="24"/>
              </w:rPr>
              <w:t>оличество контрольных (надзорных) мероприятий проведенных в связи с истечением срока исполнения решения контрольного (надзорного) органа об устранении выявленного нарушения обязательных требований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В.4</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заявлений (обращений)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В.5</w:t>
            </w:r>
          </w:p>
        </w:tc>
        <w:tc>
          <w:tcPr>
            <w:tcW w:w="14332" w:type="dxa"/>
            <w:gridSpan w:val="2"/>
          </w:tcPr>
          <w:p w:rsidR="00065DC7" w:rsidRPr="00D3503E" w:rsidRDefault="00B74866" w:rsidP="009C3DEA">
            <w:pPr>
              <w:pStyle w:val="ConsPlusNormal"/>
              <w:rPr>
                <w:sz w:val="24"/>
                <w:szCs w:val="24"/>
              </w:rPr>
            </w:pPr>
            <w:r w:rsidRPr="00D3503E">
              <w:rPr>
                <w:sz w:val="24"/>
                <w:szCs w:val="24"/>
              </w:rPr>
              <w:t>о</w:t>
            </w:r>
            <w:r w:rsidR="00065DC7" w:rsidRPr="00D3503E">
              <w:rPr>
                <w:sz w:val="24"/>
                <w:szCs w:val="24"/>
              </w:rPr>
              <w:t xml:space="preserve">бщее количество объектов капитального строительства, включенных в реестр объектов капитального строительства, указанных в части 1 статьи 54 Градостроительного кодекса Российской Федерации, в отношении которых осуществляется региональный государственный </w:t>
            </w:r>
            <w:r w:rsidR="00065DC7" w:rsidRPr="00D3503E">
              <w:rPr>
                <w:sz w:val="24"/>
                <w:szCs w:val="24"/>
              </w:rPr>
              <w:lastRenderedPageBreak/>
              <w:t>строительный надзор на конец отчетного периода</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lastRenderedPageBreak/>
              <w:t>В.6</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выданных заключений о соответствии заключения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В.7</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выданных решений об отказе в выдаче заключений о соответствии построенного, реконструированного объекта капитального строительства требованиям, указанным в части 16 статьи 54 Градостроительного кодекса Российской Федерации</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В.8</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В.8.1</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В.9</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штатных единиц, всего</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В.9.1</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штатных единиц, в должностные обязанности котор</w:t>
            </w:r>
            <w:r w:rsidRPr="00D3503E">
              <w:rPr>
                <w:sz w:val="24"/>
                <w:szCs w:val="24"/>
              </w:rPr>
              <w:t xml:space="preserve">ых входит выполнение </w:t>
            </w:r>
            <w:proofErr w:type="spellStart"/>
            <w:r w:rsidRPr="00D3503E">
              <w:rPr>
                <w:sz w:val="24"/>
                <w:szCs w:val="24"/>
              </w:rPr>
              <w:t>контрольно</w:t>
            </w:r>
            <w:proofErr w:type="spellEnd"/>
            <w:r w:rsidRPr="00D3503E">
              <w:rPr>
                <w:sz w:val="24"/>
                <w:szCs w:val="24"/>
              </w:rPr>
              <w:t>–</w:t>
            </w:r>
            <w:r w:rsidR="00065DC7" w:rsidRPr="00D3503E">
              <w:rPr>
                <w:sz w:val="24"/>
                <w:szCs w:val="24"/>
              </w:rPr>
              <w:t>надзорных функций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В.10</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выявленных нарушений обязательных требований в ходе контрольных (надзорных) мероприятий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В.11</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выданных предписаний об устранении нарушений обязательных требований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В.12</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исполненных предписаний об устранении нарушений обязательных требований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В.13</w:t>
            </w:r>
          </w:p>
        </w:tc>
        <w:tc>
          <w:tcPr>
            <w:tcW w:w="14332" w:type="dxa"/>
            <w:gridSpan w:val="2"/>
          </w:tcPr>
          <w:p w:rsidR="00065DC7" w:rsidRPr="00D3503E" w:rsidRDefault="00B74866" w:rsidP="009C3DEA">
            <w:pPr>
              <w:pStyle w:val="ConsPlusNormal"/>
              <w:rPr>
                <w:sz w:val="24"/>
                <w:szCs w:val="24"/>
              </w:rPr>
            </w:pPr>
            <w:r w:rsidRPr="00D3503E">
              <w:rPr>
                <w:sz w:val="24"/>
                <w:szCs w:val="24"/>
              </w:rPr>
              <w:t>с</w:t>
            </w:r>
            <w:r w:rsidR="00065DC7" w:rsidRPr="00D3503E">
              <w:rPr>
                <w:sz w:val="24"/>
                <w:szCs w:val="24"/>
              </w:rPr>
              <w:t>умма административных штрафов, наложенных по результатам контрольных (надзорных) мероприятий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В.14</w:t>
            </w:r>
          </w:p>
        </w:tc>
        <w:tc>
          <w:tcPr>
            <w:tcW w:w="14332" w:type="dxa"/>
            <w:gridSpan w:val="2"/>
          </w:tcPr>
          <w:p w:rsidR="00065DC7" w:rsidRPr="00D3503E" w:rsidRDefault="00B74866" w:rsidP="009C3DEA">
            <w:pPr>
              <w:pStyle w:val="ConsPlusNormal"/>
              <w:rPr>
                <w:sz w:val="24"/>
                <w:szCs w:val="24"/>
              </w:rPr>
            </w:pPr>
            <w:r w:rsidRPr="00D3503E">
              <w:rPr>
                <w:sz w:val="24"/>
                <w:szCs w:val="24"/>
              </w:rPr>
              <w:t>о</w:t>
            </w:r>
            <w:r w:rsidR="00065DC7" w:rsidRPr="00D3503E">
              <w:rPr>
                <w:sz w:val="24"/>
                <w:szCs w:val="24"/>
              </w:rPr>
              <w:t>бщая сумма уплаченных (взысканных) штрафов</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В.15</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проведенных обязательных профилактических визитов</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В.16</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объявленных предостережений о недопустимости нарушения обязательных требований</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В.17</w:t>
            </w:r>
          </w:p>
        </w:tc>
        <w:tc>
          <w:tcPr>
            <w:tcW w:w="14332" w:type="dxa"/>
            <w:gridSpan w:val="2"/>
          </w:tcPr>
          <w:p w:rsidR="00065DC7" w:rsidRPr="00D3503E" w:rsidRDefault="00B74866" w:rsidP="00B74866">
            <w:pPr>
              <w:pStyle w:val="ConsPlusNormal"/>
              <w:rPr>
                <w:sz w:val="24"/>
                <w:szCs w:val="24"/>
              </w:rPr>
            </w:pPr>
            <w:r w:rsidRPr="00D3503E">
              <w:rPr>
                <w:sz w:val="24"/>
                <w:szCs w:val="24"/>
              </w:rPr>
              <w:t>о</w:t>
            </w:r>
            <w:r w:rsidR="00065DC7" w:rsidRPr="00D3503E">
              <w:rPr>
                <w:sz w:val="24"/>
                <w:szCs w:val="24"/>
              </w:rPr>
              <w:t>бщее количество жалоб, поданных контролируемыми лицами в досудебном порядке,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В.18</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 xml:space="preserve">оличество жалоб, поданных контролируемыми лицами в досудебном порядке, по </w:t>
            </w:r>
            <w:proofErr w:type="gramStart"/>
            <w:r w:rsidR="00065DC7" w:rsidRPr="00D3503E">
              <w:rPr>
                <w:sz w:val="24"/>
                <w:szCs w:val="24"/>
              </w:rPr>
              <w:t>итогам</w:t>
            </w:r>
            <w:proofErr w:type="gramEnd"/>
            <w:r w:rsidR="00065DC7" w:rsidRPr="00D3503E">
              <w:rPr>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w:t>
            </w:r>
            <w:r w:rsidRPr="00D3503E">
              <w:rPr>
                <w:sz w:val="24"/>
                <w:szCs w:val="24"/>
              </w:rPr>
              <w:t>твительными,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lastRenderedPageBreak/>
              <w:t>В.19</w:t>
            </w:r>
          </w:p>
        </w:tc>
        <w:tc>
          <w:tcPr>
            <w:tcW w:w="14332" w:type="dxa"/>
            <w:gridSpan w:val="2"/>
          </w:tcPr>
          <w:p w:rsidR="00065DC7" w:rsidRPr="00D3503E" w:rsidRDefault="00B74866" w:rsidP="009C3DEA">
            <w:pPr>
              <w:pStyle w:val="ConsPlusNormal"/>
              <w:rPr>
                <w:sz w:val="24"/>
                <w:szCs w:val="24"/>
              </w:rPr>
            </w:pPr>
            <w:r w:rsidRPr="00D3503E">
              <w:rPr>
                <w:sz w:val="24"/>
                <w:szCs w:val="24"/>
              </w:rPr>
              <w:t>к</w:t>
            </w:r>
            <w:r w:rsidR="00065DC7" w:rsidRPr="00D3503E">
              <w:rPr>
                <w:sz w:val="24"/>
                <w:szCs w:val="24"/>
              </w:rPr>
              <w:t>оличество жалоб, поданных контролируемыми лицами, по итогам рассмотрения которых</w:t>
            </w:r>
            <w:r w:rsidRPr="00D3503E">
              <w:rPr>
                <w:sz w:val="24"/>
                <w:szCs w:val="24"/>
              </w:rPr>
              <w:t>,</w:t>
            </w:r>
            <w:r w:rsidR="00065DC7" w:rsidRPr="00D3503E">
              <w:rPr>
                <w:sz w:val="24"/>
                <w:szCs w:val="24"/>
              </w:rPr>
              <w:t xml:space="preserve">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w:t>
            </w:r>
            <w:r w:rsidRPr="00D3503E">
              <w:rPr>
                <w:sz w:val="24"/>
                <w:szCs w:val="24"/>
              </w:rPr>
              <w:t>твительными,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В.20</w:t>
            </w:r>
          </w:p>
        </w:tc>
        <w:tc>
          <w:tcPr>
            <w:tcW w:w="14332" w:type="dxa"/>
            <w:gridSpan w:val="2"/>
          </w:tcPr>
          <w:p w:rsidR="00065DC7" w:rsidRPr="00D3503E" w:rsidRDefault="00B74866" w:rsidP="009C3DEA">
            <w:pPr>
              <w:pStyle w:val="ConsPlusNormal"/>
              <w:rPr>
                <w:sz w:val="24"/>
                <w:szCs w:val="24"/>
              </w:rPr>
            </w:pPr>
            <w:r w:rsidRPr="00D3503E">
              <w:rPr>
                <w:sz w:val="24"/>
                <w:szCs w:val="24"/>
              </w:rPr>
              <w:t>о</w:t>
            </w:r>
            <w:r w:rsidR="00065DC7" w:rsidRPr="00D3503E">
              <w:rPr>
                <w:sz w:val="24"/>
                <w:szCs w:val="24"/>
              </w:rPr>
              <w:t>бщее количество жалоб, поданных контролируемыми лицами по исковым</w:t>
            </w:r>
            <w:r w:rsidRPr="00D3503E">
              <w:rPr>
                <w:sz w:val="24"/>
                <w:szCs w:val="24"/>
              </w:rPr>
              <w:t xml:space="preserve"> заявлениям, за отчетный период</w:t>
            </w:r>
          </w:p>
        </w:tc>
      </w:tr>
      <w:tr w:rsidR="00065DC7" w:rsidRPr="00C85268" w:rsidTr="00430C95">
        <w:trPr>
          <w:jc w:val="center"/>
        </w:trPr>
        <w:tc>
          <w:tcPr>
            <w:tcW w:w="1465" w:type="dxa"/>
          </w:tcPr>
          <w:p w:rsidR="00065DC7" w:rsidRPr="00D3503E" w:rsidRDefault="00065DC7" w:rsidP="00B74866">
            <w:pPr>
              <w:pStyle w:val="ConsPlusNormal"/>
              <w:jc w:val="center"/>
              <w:rPr>
                <w:sz w:val="24"/>
                <w:szCs w:val="24"/>
              </w:rPr>
            </w:pPr>
            <w:r w:rsidRPr="00D3503E">
              <w:rPr>
                <w:sz w:val="24"/>
                <w:szCs w:val="24"/>
              </w:rPr>
              <w:t>В.21</w:t>
            </w:r>
          </w:p>
        </w:tc>
        <w:tc>
          <w:tcPr>
            <w:tcW w:w="14332" w:type="dxa"/>
            <w:gridSpan w:val="2"/>
          </w:tcPr>
          <w:p w:rsidR="00065DC7" w:rsidRPr="00D3503E" w:rsidRDefault="00B74866" w:rsidP="009C3DEA">
            <w:pPr>
              <w:pStyle w:val="ConsPlusNormal"/>
              <w:rPr>
                <w:sz w:val="24"/>
                <w:szCs w:val="24"/>
              </w:rPr>
            </w:pPr>
            <w:r w:rsidRPr="00D3503E">
              <w:rPr>
                <w:sz w:val="24"/>
                <w:szCs w:val="24"/>
              </w:rPr>
              <w:t>о</w:t>
            </w:r>
            <w:r w:rsidR="00065DC7" w:rsidRPr="00D3503E">
              <w:rPr>
                <w:sz w:val="24"/>
                <w:szCs w:val="24"/>
              </w:rPr>
              <w:t>бъем финансовых средств, выделяемых в отчетном периоде из бюджетов всех уровней на выполнение функции по осуществлению регионального государственного строительного надзора,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r>
    </w:tbl>
    <w:p w:rsidR="005A62A3" w:rsidRPr="003413F9" w:rsidRDefault="00E00B94" w:rsidP="00E00B94">
      <w:pPr>
        <w:ind w:right="-3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3413F9" w:rsidRDefault="003413F9" w:rsidP="005A62A3">
      <w:pPr>
        <w:jc w:val="center"/>
        <w:rPr>
          <w:rFonts w:ascii="Times New Roman" w:eastAsia="Times New Roman" w:hAnsi="Times New Roman" w:cs="Times New Roman"/>
          <w:sz w:val="28"/>
          <w:szCs w:val="28"/>
          <w:lang w:eastAsia="ru-RU"/>
        </w:rPr>
      </w:pPr>
    </w:p>
    <w:p w:rsidR="00D3503E" w:rsidRDefault="00D3503E" w:rsidP="005A62A3">
      <w:pPr>
        <w:jc w:val="center"/>
        <w:rPr>
          <w:rFonts w:ascii="Times New Roman" w:eastAsia="Times New Roman" w:hAnsi="Times New Roman" w:cs="Times New Roman"/>
          <w:sz w:val="28"/>
          <w:szCs w:val="28"/>
          <w:lang w:eastAsia="ru-RU"/>
        </w:rPr>
      </w:pPr>
    </w:p>
    <w:p w:rsidR="00D3503E" w:rsidRDefault="00D3503E" w:rsidP="005A62A3">
      <w:pPr>
        <w:jc w:val="center"/>
        <w:rPr>
          <w:rFonts w:ascii="Times New Roman" w:eastAsia="Times New Roman" w:hAnsi="Times New Roman" w:cs="Times New Roman"/>
          <w:sz w:val="28"/>
          <w:szCs w:val="28"/>
          <w:lang w:eastAsia="ru-RU"/>
        </w:rPr>
      </w:pPr>
    </w:p>
    <w:p w:rsidR="00D3503E" w:rsidRPr="003413F9" w:rsidRDefault="005A62A3" w:rsidP="005A62A3">
      <w:pPr>
        <w:jc w:val="center"/>
        <w:rPr>
          <w:rFonts w:ascii="Times New Roman" w:eastAsia="Times New Roman" w:hAnsi="Times New Roman" w:cs="Times New Roman"/>
          <w:sz w:val="28"/>
          <w:szCs w:val="28"/>
          <w:lang w:eastAsia="ru-RU"/>
        </w:rPr>
      </w:pPr>
      <w:r w:rsidRPr="003413F9">
        <w:rPr>
          <w:rFonts w:ascii="Times New Roman" w:eastAsia="Times New Roman" w:hAnsi="Times New Roman" w:cs="Times New Roman"/>
          <w:sz w:val="28"/>
          <w:szCs w:val="28"/>
          <w:lang w:eastAsia="ru-RU"/>
        </w:rPr>
        <w:t>_________</w:t>
      </w:r>
    </w:p>
    <w:sectPr w:rsidR="00D3503E" w:rsidRPr="003413F9" w:rsidSect="00D456BC">
      <w:headerReference w:type="default" r:id="rId8"/>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DB" w:rsidRDefault="00EB16DB" w:rsidP="00D456BC">
      <w:pPr>
        <w:spacing w:line="240" w:lineRule="auto"/>
      </w:pPr>
      <w:r>
        <w:separator/>
      </w:r>
    </w:p>
  </w:endnote>
  <w:endnote w:type="continuationSeparator" w:id="0">
    <w:p w:rsidR="00EB16DB" w:rsidRDefault="00EB16DB" w:rsidP="00D45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DB" w:rsidRDefault="00EB16DB" w:rsidP="00D456BC">
      <w:pPr>
        <w:spacing w:line="240" w:lineRule="auto"/>
      </w:pPr>
      <w:r>
        <w:separator/>
      </w:r>
    </w:p>
  </w:footnote>
  <w:footnote w:type="continuationSeparator" w:id="0">
    <w:p w:rsidR="00EB16DB" w:rsidRDefault="00EB16DB" w:rsidP="00D456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3821"/>
      <w:docPartObj>
        <w:docPartGallery w:val="Page Numbers (Top of Page)"/>
        <w:docPartUnique/>
      </w:docPartObj>
    </w:sdtPr>
    <w:sdtEndPr/>
    <w:sdtContent>
      <w:p w:rsidR="00D456BC" w:rsidRDefault="00D456BC">
        <w:pPr>
          <w:pStyle w:val="a3"/>
          <w:jc w:val="center"/>
        </w:pPr>
        <w:r w:rsidRPr="00D456BC">
          <w:rPr>
            <w:rFonts w:ascii="Times New Roman" w:hAnsi="Times New Roman" w:cs="Times New Roman"/>
            <w:sz w:val="20"/>
            <w:szCs w:val="20"/>
          </w:rPr>
          <w:fldChar w:fldCharType="begin"/>
        </w:r>
        <w:r w:rsidRPr="00D456BC">
          <w:rPr>
            <w:rFonts w:ascii="Times New Roman" w:hAnsi="Times New Roman" w:cs="Times New Roman"/>
            <w:sz w:val="20"/>
            <w:szCs w:val="20"/>
          </w:rPr>
          <w:instrText>PAGE   \* MERGEFORMAT</w:instrText>
        </w:r>
        <w:r w:rsidRPr="00D456BC">
          <w:rPr>
            <w:rFonts w:ascii="Times New Roman" w:hAnsi="Times New Roman" w:cs="Times New Roman"/>
            <w:sz w:val="20"/>
            <w:szCs w:val="20"/>
          </w:rPr>
          <w:fldChar w:fldCharType="separate"/>
        </w:r>
        <w:r w:rsidR="00054D47">
          <w:rPr>
            <w:rFonts w:ascii="Times New Roman" w:hAnsi="Times New Roman" w:cs="Times New Roman"/>
            <w:noProof/>
            <w:sz w:val="20"/>
            <w:szCs w:val="20"/>
          </w:rPr>
          <w:t>2</w:t>
        </w:r>
        <w:r w:rsidRPr="00D456BC">
          <w:rPr>
            <w:rFonts w:ascii="Times New Roman" w:hAnsi="Times New Roman" w:cs="Times New Roman"/>
            <w:sz w:val="20"/>
            <w:szCs w:val="20"/>
          </w:rPr>
          <w:fldChar w:fldCharType="end"/>
        </w:r>
      </w:p>
    </w:sdtContent>
  </w:sdt>
  <w:p w:rsidR="00D456BC" w:rsidRDefault="00D456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33"/>
    <w:rsid w:val="00012D6F"/>
    <w:rsid w:val="00054D47"/>
    <w:rsid w:val="00065DC7"/>
    <w:rsid w:val="00125003"/>
    <w:rsid w:val="001422C1"/>
    <w:rsid w:val="001E18DE"/>
    <w:rsid w:val="001E1B50"/>
    <w:rsid w:val="00265548"/>
    <w:rsid w:val="00294030"/>
    <w:rsid w:val="002D2255"/>
    <w:rsid w:val="003051B9"/>
    <w:rsid w:val="003413F9"/>
    <w:rsid w:val="003B2546"/>
    <w:rsid w:val="00430C95"/>
    <w:rsid w:val="00460A12"/>
    <w:rsid w:val="00572FE5"/>
    <w:rsid w:val="00583626"/>
    <w:rsid w:val="005A62A3"/>
    <w:rsid w:val="005D5C09"/>
    <w:rsid w:val="005E2600"/>
    <w:rsid w:val="00670935"/>
    <w:rsid w:val="006D3F33"/>
    <w:rsid w:val="006F1928"/>
    <w:rsid w:val="0071653A"/>
    <w:rsid w:val="00872074"/>
    <w:rsid w:val="00874750"/>
    <w:rsid w:val="009375F6"/>
    <w:rsid w:val="009F30C4"/>
    <w:rsid w:val="00B74866"/>
    <w:rsid w:val="00BC6EFD"/>
    <w:rsid w:val="00C11FDE"/>
    <w:rsid w:val="00C5247C"/>
    <w:rsid w:val="00D3503E"/>
    <w:rsid w:val="00D456BC"/>
    <w:rsid w:val="00D85E9D"/>
    <w:rsid w:val="00E00B94"/>
    <w:rsid w:val="00E34D25"/>
    <w:rsid w:val="00E36F45"/>
    <w:rsid w:val="00EB16DB"/>
    <w:rsid w:val="00EE772C"/>
    <w:rsid w:val="00F00F9B"/>
    <w:rsid w:val="00FA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33"/>
    <w:pPr>
      <w:spacing w:after="0" w:line="259" w:lineRule="auto"/>
      <w:ind w:left="-567" w:right="-28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F3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456BC"/>
    <w:pPr>
      <w:tabs>
        <w:tab w:val="center" w:pos="4677"/>
        <w:tab w:val="right" w:pos="9355"/>
      </w:tabs>
      <w:spacing w:line="240" w:lineRule="auto"/>
    </w:pPr>
  </w:style>
  <w:style w:type="character" w:customStyle="1" w:styleId="a4">
    <w:name w:val="Верхний колонтитул Знак"/>
    <w:basedOn w:val="a0"/>
    <w:link w:val="a3"/>
    <w:uiPriority w:val="99"/>
    <w:rsid w:val="00D456BC"/>
  </w:style>
  <w:style w:type="paragraph" w:styleId="a5">
    <w:name w:val="footer"/>
    <w:basedOn w:val="a"/>
    <w:link w:val="a6"/>
    <w:uiPriority w:val="99"/>
    <w:unhideWhenUsed/>
    <w:rsid w:val="00D456BC"/>
    <w:pPr>
      <w:tabs>
        <w:tab w:val="center" w:pos="4677"/>
        <w:tab w:val="right" w:pos="9355"/>
      </w:tabs>
      <w:spacing w:line="240" w:lineRule="auto"/>
    </w:pPr>
  </w:style>
  <w:style w:type="character" w:customStyle="1" w:styleId="a6">
    <w:name w:val="Нижний колонтитул Знак"/>
    <w:basedOn w:val="a0"/>
    <w:link w:val="a5"/>
    <w:uiPriority w:val="99"/>
    <w:rsid w:val="00D456BC"/>
  </w:style>
  <w:style w:type="paragraph" w:styleId="a7">
    <w:name w:val="Balloon Text"/>
    <w:basedOn w:val="a"/>
    <w:link w:val="a8"/>
    <w:uiPriority w:val="99"/>
    <w:semiHidden/>
    <w:unhideWhenUsed/>
    <w:rsid w:val="001E18D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1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33"/>
    <w:pPr>
      <w:spacing w:after="0" w:line="259" w:lineRule="auto"/>
      <w:ind w:left="-567" w:right="-28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F3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D456BC"/>
    <w:pPr>
      <w:tabs>
        <w:tab w:val="center" w:pos="4677"/>
        <w:tab w:val="right" w:pos="9355"/>
      </w:tabs>
      <w:spacing w:line="240" w:lineRule="auto"/>
    </w:pPr>
  </w:style>
  <w:style w:type="character" w:customStyle="1" w:styleId="a4">
    <w:name w:val="Верхний колонтитул Знак"/>
    <w:basedOn w:val="a0"/>
    <w:link w:val="a3"/>
    <w:uiPriority w:val="99"/>
    <w:rsid w:val="00D456BC"/>
  </w:style>
  <w:style w:type="paragraph" w:styleId="a5">
    <w:name w:val="footer"/>
    <w:basedOn w:val="a"/>
    <w:link w:val="a6"/>
    <w:uiPriority w:val="99"/>
    <w:unhideWhenUsed/>
    <w:rsid w:val="00D456BC"/>
    <w:pPr>
      <w:tabs>
        <w:tab w:val="center" w:pos="4677"/>
        <w:tab w:val="right" w:pos="9355"/>
      </w:tabs>
      <w:spacing w:line="240" w:lineRule="auto"/>
    </w:pPr>
  </w:style>
  <w:style w:type="character" w:customStyle="1" w:styleId="a6">
    <w:name w:val="Нижний колонтитул Знак"/>
    <w:basedOn w:val="a0"/>
    <w:link w:val="a5"/>
    <w:uiPriority w:val="99"/>
    <w:rsid w:val="00D456BC"/>
  </w:style>
  <w:style w:type="paragraph" w:styleId="a7">
    <w:name w:val="Balloon Text"/>
    <w:basedOn w:val="a"/>
    <w:link w:val="a8"/>
    <w:uiPriority w:val="99"/>
    <w:semiHidden/>
    <w:unhideWhenUsed/>
    <w:rsid w:val="001E18D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1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40C026-BF27-4217-AD99-D765913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8</cp:revision>
  <dcterms:created xsi:type="dcterms:W3CDTF">2022-07-08T07:26:00Z</dcterms:created>
  <dcterms:modified xsi:type="dcterms:W3CDTF">2022-09-08T06:06:00Z</dcterms:modified>
</cp:coreProperties>
</file>