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5103" w:firstLine="851"/>
        <w:jc w:val="right"/>
      </w:pPr>
      <w:r>
        <w:rPr>
          <w:szCs w:val="28"/>
        </w:rPr>
        <w:t xml:space="preserve">Проект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</w:t>
      </w:r>
      <w:r>
        <w:rPr>
          <w:szCs w:val="28"/>
        </w:rPr>
        <w:t xml:space="preserve">о</w:t>
      </w:r>
      <w:r>
        <w:rPr>
          <w:szCs w:val="28"/>
        </w:rPr>
        <w:t xml:space="preserve">бласти</w:t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а постановление Правительства Новосибирской области от от 26.07.2022 № 340-п</w:t>
      </w: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ind w:firstLine="708"/>
        <w:spacing w:line="240" w:lineRule="atLeast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</w:t>
      </w:r>
      <w:r>
        <w:rPr>
          <w:szCs w:val="28"/>
        </w:rPr>
        <w:t xml:space="preserve"> Федерации от </w:t>
      </w:r>
      <w:r>
        <w:rPr>
          <w:szCs w:val="28"/>
        </w:rPr>
        <w:t xml:space="preserve">0</w:t>
      </w:r>
      <w:r>
        <w:rPr>
          <w:szCs w:val="28"/>
        </w:rPr>
        <w:t xml:space="preserve">2</w:t>
      </w:r>
      <w:r>
        <w:rPr>
          <w:szCs w:val="28"/>
        </w:rPr>
        <w:t xml:space="preserve">.02.</w:t>
      </w:r>
      <w:r>
        <w:rPr>
          <w:szCs w:val="28"/>
        </w:rPr>
        <w:t xml:space="preserve">202</w:t>
      </w:r>
      <w:r>
        <w:rPr>
          <w:szCs w:val="28"/>
        </w:rPr>
        <w:t xml:space="preserve">2</w:t>
      </w:r>
      <w:r>
        <w:rPr>
          <w:szCs w:val="28"/>
        </w:rPr>
        <w:t xml:space="preserve"> № </w:t>
      </w:r>
      <w:r>
        <w:rPr>
          <w:szCs w:val="28"/>
        </w:rPr>
        <w:t xml:space="preserve">87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</w:t>
      </w:r>
      <w:r>
        <w:rPr>
          <w:szCs w:val="28"/>
        </w:rPr>
        <w:t xml:space="preserve">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Cs w:val="28"/>
        </w:rPr>
      </w:r>
      <w:r/>
    </w:p>
    <w:p>
      <w:pPr>
        <w:ind w:firstLine="708"/>
        <w:spacing w:line="240" w:lineRule="atLeast"/>
        <w:rPr>
          <w:highlight w:val="none"/>
        </w:rPr>
      </w:pPr>
      <w:r>
        <w:rPr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Cs w:val="28"/>
        </w:rPr>
        <w:t xml:space="preserve">от 26.07.2022 № 340-п</w:t>
      </w:r>
      <w:r>
        <w:rPr>
          <w:szCs w:val="28"/>
          <w:highlight w:val="none"/>
        </w:rPr>
        <w:t xml:space="preserve"> 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Новосибирска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 следующие изменения:</w:t>
      </w:r>
      <w:r>
        <w:rPr>
          <w:szCs w:val="28"/>
          <w:highlight w:val="none"/>
        </w:rPr>
      </w:r>
      <w:r/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szCs w:val="28"/>
          <w:highlight w:val="none"/>
        </w:rPr>
        <w:t xml:space="preserve">1.</w:t>
      </w:r>
      <w:r>
        <w:rPr>
          <w:highlight w:val="none"/>
        </w:rPr>
        <w:t xml:space="preserve"> </w:t>
      </w:r>
      <w:r/>
      <w:r>
        <w:rPr>
          <w:highlight w:val="none"/>
        </w:rPr>
        <w:t xml:space="preserve">В преамбуле </w:t>
      </w:r>
      <w:r>
        <w:rPr>
          <w:highlight w:val="none"/>
        </w:rPr>
        <w:t xml:space="preserve">заменить</w:t>
      </w:r>
      <w:r>
        <w:rPr>
          <w:highlight w:val="none"/>
        </w:rPr>
        <w:t xml:space="preserve"> слова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highlight w:val="none"/>
        </w:rPr>
        <w:t xml:space="preserve">» на </w:t>
      </w:r>
      <w:r>
        <w:rPr>
          <w:szCs w:val="28"/>
        </w:rPr>
        <w:t xml:space="preserve">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highlight w:val="none"/>
        </w:rPr>
        <w:t xml:space="preserve">».</w:t>
      </w:r>
      <w:r>
        <w:rPr>
          <w:highlight w:val="none"/>
        </w:rPr>
      </w:r>
      <w:r/>
      <w:r>
        <w:rPr>
          <w:highlight w:val="none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  <w:lang w:val="en-US"/>
        </w:rPr>
        <w:t xml:space="preserve">2</w:t>
      </w:r>
      <w:r>
        <w:rPr>
          <w:highlight w:val="none"/>
        </w:rPr>
        <w:t xml:space="preserve">. Пункт 2 изложить в следующей редакции:</w:t>
      </w:r>
      <w:r>
        <w:rPr>
          <w:highlight w:val="none"/>
          <w14:ligatures w14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highlight w:val="none"/>
        </w:rPr>
        <w:t xml:space="preserve">«Контроль за реализацией проекта</w:t>
      </w:r>
      <w:r>
        <w:rPr>
          <w:szCs w:val="28"/>
        </w:rPr>
        <w:t xml:space="preserve"> строительства,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Новосибирска</w:t>
      </w:r>
      <w:r>
        <w:rPr>
          <w:szCs w:val="28"/>
        </w:rPr>
        <w:t xml:space="preserve"> Новосибирской области в сфере теплоснабжения возложить на </w:t>
      </w:r>
      <w:r>
        <w:rPr>
          <w:highlight w:val="none"/>
        </w:rPr>
        <w:t xml:space="preserve">министерство жилищно-коммунального хозяйства и энергетики Новосибирской области.»</w:t>
      </w:r>
      <w:r>
        <w:rPr>
          <w:highlight w:val="none"/>
        </w:rPr>
        <w:t xml:space="preserve">.</w:t>
      </w:r>
      <w:r/>
    </w:p>
    <w:p>
      <w:pPr>
        <w:ind w:firstLine="708"/>
        <w:spacing w:line="240" w:lineRule="atLeast"/>
        <w:rPr>
          <w14:ligatures w14:val="none"/>
        </w:rPr>
      </w:pPr>
      <w:r>
        <w:rPr>
          <w:highlight w:val="none"/>
          <w:lang w:val="en-US"/>
        </w:rPr>
        <w:t xml:space="preserve">3</w:t>
      </w:r>
      <w:r>
        <w:rPr>
          <w:highlight w:val="none"/>
        </w:rPr>
        <w:t xml:space="preserve">. </w:t>
      </w:r>
      <w:r>
        <w:rPr>
          <w:highlight w:val="none"/>
        </w:rPr>
        <w:t xml:space="preserve">«План мероприятий по</w:t>
      </w:r>
      <w:r>
        <w:rPr>
          <w:szCs w:val="28"/>
        </w:rPr>
        <w:t xml:space="preserve">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</w:r>
      <w:r>
        <w:rPr>
          <w:szCs w:val="28"/>
        </w:rPr>
      </w:r>
      <w:r>
        <w:rPr>
          <w:szCs w:val="28"/>
        </w:rPr>
        <w:t xml:space="preserve">города Новосибирска</w:t>
      </w:r>
      <w:r/>
      <w:r>
        <w:rPr>
          <w:szCs w:val="28"/>
        </w:rPr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годах» заменить на прилагаемый </w:t>
      </w:r>
      <w:r>
        <w:rPr>
          <w:szCs w:val="28"/>
        </w:rPr>
        <w:t xml:space="preserve">.</w:t>
      </w:r>
      <w:r>
        <w:rPr>
          <w14:ligatures w14:val="none"/>
        </w:rPr>
      </w:r>
      <w:r/>
    </w:p>
    <w:p>
      <w:pPr>
        <w:pStyle w:val="860"/>
        <w:ind w:firstLine="709"/>
        <w:rPr>
          <w:szCs w:val="28"/>
        </w:rPr>
      </w:pPr>
      <w:r>
        <w:rPr>
          <w:szCs w:val="28"/>
          <w:lang w:val="en-US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 Контроль за исполнением постановления возложить на </w:t>
      </w:r>
      <w:r>
        <w:rPr>
          <w:szCs w:val="28"/>
        </w:rPr>
        <w:t xml:space="preserve">заместителя Губернатора Новосибирской области Сёмку С.Н.</w:t>
      </w: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jc w:val="center"/>
        <w:rPr>
          <w:szCs w:val="28"/>
        </w:rPr>
      </w:pPr>
      <w:r>
        <w:rPr>
          <w:szCs w:val="28"/>
        </w:rPr>
      </w:r>
      <w:r/>
    </w:p>
    <w:p>
      <w:pPr>
        <w:pStyle w:val="860"/>
        <w:rPr>
          <w:szCs w:val="28"/>
        </w:rPr>
      </w:pPr>
      <w:r>
        <w:rPr>
          <w:szCs w:val="28"/>
        </w:rPr>
        <w:t xml:space="preserve">Губернатор Новосибирской области</w:t>
        <w:tab/>
        <w:tab/>
        <w:tab/>
        <w:t xml:space="preserve">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 xml:space="preserve">А.А. Травников</w:t>
      </w:r>
      <w:r>
        <w:rPr>
          <w:szCs w:val="28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860"/>
        <w:rPr>
          <w:sz w:val="20"/>
          <w:szCs w:val="20"/>
          <w:highlight w:val="none"/>
        </w:rPr>
      </w:pPr>
      <w:r>
        <w:rPr>
          <w:sz w:val="20"/>
        </w:rPr>
        <w:t xml:space="preserve">Д.Н. Архипов</w:t>
      </w:r>
      <w:r>
        <w:rPr>
          <w:sz w:val="20"/>
        </w:rPr>
      </w:r>
      <w:r/>
    </w:p>
    <w:p>
      <w:pPr>
        <w:pStyle w:val="860"/>
        <w:rPr>
          <w:szCs w:val="28"/>
        </w:rPr>
      </w:pPr>
      <w:r>
        <w:rPr>
          <w:sz w:val="20"/>
        </w:rPr>
        <w:t xml:space="preserve">2</w:t>
      </w:r>
      <w:r>
        <w:rPr>
          <w:sz w:val="20"/>
        </w:rPr>
        <w:t xml:space="preserve">38</w:t>
      </w:r>
      <w:r>
        <w:rPr>
          <w:sz w:val="20"/>
        </w:rPr>
        <w:t xml:space="preserve"> </w:t>
      </w:r>
      <w:r>
        <w:rPr>
          <w:sz w:val="20"/>
        </w:rPr>
        <w:t xml:space="preserve">61 5</w:t>
      </w:r>
      <w:r>
        <w:rPr>
          <w:sz w:val="20"/>
        </w:rPr>
        <w:t xml:space="preserve">6</w:t>
      </w:r>
      <w:r>
        <w:rPr>
          <w:szCs w:val="28"/>
        </w:rPr>
      </w:r>
      <w:r/>
    </w:p>
    <w:p>
      <w:pPr>
        <w:pStyle w:val="860"/>
        <w:jc w:val="left"/>
        <w:rPr>
          <w:szCs w:val="28"/>
        </w:rPr>
      </w:pPr>
      <w:r>
        <w:rPr>
          <w:szCs w:val="28"/>
        </w:rPr>
        <w:br w:type="page" w:clear="all"/>
        <w:t xml:space="preserve">СОГЛАСОВАНО</w:t>
      </w:r>
      <w:r/>
    </w:p>
    <w:p>
      <w:pPr>
        <w:pStyle w:val="860"/>
        <w:rPr>
          <w:szCs w:val="28"/>
        </w:rPr>
      </w:pPr>
      <w:r>
        <w:rPr>
          <w:szCs w:val="28"/>
        </w:rPr>
      </w:r>
      <w:r/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 юстиции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Н</w:t>
            </w:r>
            <w:r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 xml:space="preserve">Деркач</w:t>
            </w:r>
            <w:r>
              <w:rPr>
                <w:bCs/>
                <w:szCs w:val="28"/>
              </w:rPr>
            </w:r>
            <w:r/>
          </w:p>
          <w:p>
            <w:pPr>
              <w:pStyle w:val="860"/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редседателя Правительства Новосибирской области – министр финансов и налоговой политики Новосибирской области</w:t>
            </w:r>
            <w:r/>
          </w:p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В.Ю. Голубенко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60"/>
              <w:rPr>
                <w:szCs w:val="28"/>
              </w:rPr>
            </w:pPr>
            <w:r>
              <w:rPr>
                <w:szCs w:val="28"/>
              </w:rPr>
              <w:t xml:space="preserve">Д.Н. Архипов</w:t>
            </w:r>
            <w:r>
              <w:rPr>
                <w:szCs w:val="28"/>
              </w:rPr>
            </w:r>
            <w:r/>
          </w:p>
        </w:tc>
      </w:tr>
    </w:tbl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/>
    </w:p>
    <w:p>
      <w:pPr>
        <w:pStyle w:val="8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76</w:t>
      </w:r>
      <w:r>
        <w:rPr>
          <w:rFonts w:ascii="Times New Roman" w:hAnsi="Times New Roman" w:cs="Times New Roman"/>
        </w:rPr>
        <w:t xml:space="preserve"> 29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separate"/>
    </w:r>
    <w:r>
      <w:rPr>
        <w:rStyle w:val="867"/>
      </w:rPr>
      <w:t xml:space="preserve">2</w: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end"/>
    </w:r>
    <w:r>
      <w:rPr>
        <w:rStyle w:val="867"/>
      </w:rPr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860"/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860"/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pStyle w:val="860"/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pStyle w:val="860"/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pStyle w:val="860"/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pStyle w:val="860"/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pStyle w:val="860"/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pStyle w:val="860"/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pStyle w:val="860"/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0"/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jc w:val="both"/>
    </w:pPr>
    <w:rPr>
      <w:sz w:val="28"/>
      <w:lang w:val="ru-RU" w:eastAsia="ru-RU" w:bidi="ar-SA"/>
    </w:rPr>
  </w:style>
  <w:style w:type="paragraph" w:styleId="861">
    <w:name w:val="Заголовок 2"/>
    <w:basedOn w:val="860"/>
    <w:next w:val="860"/>
    <w:link w:val="860"/>
    <w:qFormat/>
    <w:pPr>
      <w:jc w:val="center"/>
      <w:keepNext/>
      <w:outlineLvl w:val="1"/>
    </w:pPr>
    <w:rPr>
      <w:b/>
      <w:spacing w:val="40"/>
    </w:rPr>
  </w:style>
  <w:style w:type="character" w:styleId="862">
    <w:name w:val="Основной шрифт абзаца"/>
    <w:next w:val="862"/>
    <w:link w:val="860"/>
    <w:semiHidden/>
  </w:style>
  <w:style w:type="table" w:styleId="863">
    <w:name w:val="Обычная таблица"/>
    <w:next w:val="863"/>
    <w:link w:val="860"/>
    <w:semiHidden/>
    <w:tblPr/>
  </w:style>
  <w:style w:type="numbering" w:styleId="864">
    <w:name w:val="Нет списка"/>
    <w:next w:val="864"/>
    <w:link w:val="860"/>
    <w:semiHidden/>
  </w:style>
  <w:style w:type="table" w:styleId="865">
    <w:name w:val="Сетка таблицы"/>
    <w:basedOn w:val="863"/>
    <w:next w:val="865"/>
    <w:link w:val="860"/>
    <w:pPr>
      <w:jc w:val="both"/>
    </w:pPr>
    <w:tblPr/>
  </w:style>
  <w:style w:type="paragraph" w:styleId="866">
    <w:name w:val="Верхний колонтитул"/>
    <w:basedOn w:val="860"/>
    <w:next w:val="866"/>
    <w:link w:val="860"/>
    <w:pPr>
      <w:tabs>
        <w:tab w:val="center" w:pos="4677" w:leader="none"/>
        <w:tab w:val="right" w:pos="9355" w:leader="none"/>
      </w:tabs>
    </w:pPr>
  </w:style>
  <w:style w:type="character" w:styleId="867">
    <w:name w:val="Номер страницы"/>
    <w:basedOn w:val="862"/>
    <w:next w:val="867"/>
    <w:link w:val="860"/>
  </w:style>
  <w:style w:type="paragraph" w:styleId="868">
    <w:name w:val="Текст выноски"/>
    <w:basedOn w:val="860"/>
    <w:next w:val="868"/>
    <w:link w:val="860"/>
    <w:semiHidden/>
    <w:rPr>
      <w:rFonts w:ascii="Tahoma" w:hAnsi="Tahoma" w:cs="Tahoma"/>
      <w:sz w:val="16"/>
      <w:szCs w:val="16"/>
    </w:rPr>
  </w:style>
  <w:style w:type="paragraph" w:styleId="869">
    <w:name w:val="ConsPlusNormal"/>
    <w:next w:val="869"/>
    <w:link w:val="86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70">
    <w:name w:val="ConsPlusNonformat"/>
    <w:next w:val="870"/>
    <w:link w:val="86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71">
    <w:name w:val="Основной текст"/>
    <w:basedOn w:val="860"/>
    <w:next w:val="871"/>
    <w:link w:val="872"/>
    <w:uiPriority w:val="99"/>
    <w:rPr>
      <w:szCs w:val="28"/>
    </w:rPr>
  </w:style>
  <w:style w:type="character" w:styleId="872">
    <w:name w:val="Основной текст Знак"/>
    <w:next w:val="872"/>
    <w:link w:val="871"/>
    <w:uiPriority w:val="99"/>
    <w:rPr>
      <w:sz w:val="28"/>
      <w:szCs w:val="28"/>
    </w:rPr>
  </w:style>
  <w:style w:type="paragraph" w:styleId="873">
    <w:name w:val="Нижний колонтитул"/>
    <w:basedOn w:val="860"/>
    <w:next w:val="873"/>
    <w:link w:val="874"/>
    <w:pPr>
      <w:tabs>
        <w:tab w:val="center" w:pos="4677" w:leader="none"/>
        <w:tab w:val="right" w:pos="9355" w:leader="none"/>
      </w:tabs>
    </w:pPr>
  </w:style>
  <w:style w:type="character" w:styleId="874">
    <w:name w:val="Нижний колонтитул Знак"/>
    <w:next w:val="874"/>
    <w:link w:val="873"/>
    <w:rPr>
      <w:sz w:val="28"/>
    </w:rPr>
  </w:style>
  <w:style w:type="paragraph" w:styleId="875">
    <w:name w:val="Рецензия"/>
    <w:next w:val="875"/>
    <w:link w:val="860"/>
    <w:hidden/>
    <w:uiPriority w:val="99"/>
    <w:semiHidden/>
    <w:rPr>
      <w:sz w:val="28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Департамент с/х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15</cp:revision>
  <dcterms:created xsi:type="dcterms:W3CDTF">2022-03-30T12:18:00Z</dcterms:created>
  <dcterms:modified xsi:type="dcterms:W3CDTF">2023-11-01T08:49:45Z</dcterms:modified>
  <cp:version>1048576</cp:version>
</cp:coreProperties>
</file>