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OLE_LINK1"/>
      <w:r/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  <w:t xml:space="preserve">УТВЕРЖДЕН</w:t>
      </w:r>
      <w:r/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Правительства Новосибирской области </w:t>
      </w:r>
      <w:r/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строительству, реконструкции, модернизации объектов инфраструктуры на территории </w:t>
      </w:r>
      <w:r>
        <w:rPr>
          <w:rFonts w:ascii="Times New Roman" w:hAnsi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/>
          <w:b/>
          <w:sz w:val="28"/>
          <w:szCs w:val="28"/>
        </w:rPr>
        <w:t xml:space="preserve">Новосибирска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</w:t>
      </w:r>
      <w:r>
        <w:rPr>
          <w:rFonts w:ascii="Times New Roman" w:hAnsi="Times New Roman"/>
          <w:b/>
          <w:sz w:val="28"/>
          <w:szCs w:val="28"/>
        </w:rPr>
        <w:t xml:space="preserve">овосибирской области в 202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b/>
          <w:sz w:val="28"/>
          <w:szCs w:val="28"/>
        </w:rPr>
        <w:t xml:space="preserve">202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 годах</w:t>
      </w:r>
      <w:r/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9"/>
        <w:rPr>
          <w:sz w:val="2"/>
          <w:szCs w:val="2"/>
        </w:rPr>
      </w:pPr>
      <w:r>
        <w:rPr>
          <w:sz w:val="2"/>
          <w:szCs w:val="2"/>
        </w:rPr>
      </w:r>
      <w:bookmarkEnd w:id="0"/>
      <w:r/>
    </w:p>
    <w:tbl>
      <w:tblPr>
        <w:tblStyle w:val="673"/>
        <w:tblW w:w="16106" w:type="dxa"/>
        <w:jc w:val="center"/>
        <w:tblLayout w:type="fixed"/>
        <w:tblLook w:val="04A0" w:firstRow="1" w:lastRow="0" w:firstColumn="1" w:lastColumn="0" w:noHBand="0" w:noVBand="1"/>
      </w:tblPr>
      <w:tblGrid>
        <w:gridCol w:w="1764"/>
        <w:gridCol w:w="1869"/>
        <w:gridCol w:w="1806"/>
        <w:gridCol w:w="2059"/>
        <w:gridCol w:w="1029"/>
        <w:gridCol w:w="1323"/>
        <w:gridCol w:w="441"/>
        <w:gridCol w:w="1815"/>
        <w:gridCol w:w="1417"/>
        <w:gridCol w:w="1276"/>
        <w:gridCol w:w="1307"/>
      </w:tblGrid>
      <w:tr>
        <w:trPr>
          <w:jc w:val="center"/>
          <w:trHeight w:val="481"/>
        </w:trPr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проекта, сферы и муниципального образования, на территории которого будет осуществляться реализация проекта</w:t>
            </w:r>
            <w:r/>
          </w:p>
        </w:tc>
        <w:tc>
          <w:tcPr>
            <w:tcW w:w="18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участника проекта (заемщика)</w:t>
            </w:r>
            <w:r/>
          </w:p>
        </w:tc>
        <w:tc>
          <w:tcPr>
            <w:tcW w:w="180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Перечень мероприятий проекта</w:t>
            </w:r>
            <w:r/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объектов</w:t>
            </w:r>
            <w:r>
              <w:t xml:space="preserve"> инфраструктуры создание, реконструкция, модернизация которого планируется в рамках реализации проекта/</w:t>
            </w:r>
            <w:r/>
          </w:p>
          <w:p>
            <w:pPr>
              <w:jc w:val="center"/>
            </w:pPr>
            <w:r>
              <w:t xml:space="preserve">форма собственности на объект инфраструктуры</w:t>
            </w:r>
            <w:r/>
          </w:p>
        </w:tc>
        <w:tc>
          <w:tcPr>
            <w:gridSpan w:val="2"/>
            <w:tcW w:w="2352" w:type="dxa"/>
            <w:textDirection w:val="lrTb"/>
            <w:noWrap w:val="false"/>
          </w:tcPr>
          <w:p>
            <w:pPr>
              <w:jc w:val="center"/>
            </w:pPr>
            <w:r>
              <w:t xml:space="preserve">Срок реализации проекта</w:t>
            </w:r>
            <w:r/>
          </w:p>
        </w:tc>
        <w:tc>
          <w:tcPr>
            <w:gridSpan w:val="2"/>
            <w:tcW w:w="22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Виды работ и источники финансирования проекта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(рубли, с НДС)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Стоимость проекта</w:t>
            </w:r>
            <w:r/>
          </w:p>
          <w:p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 xml:space="preserve">(рубли, с НДС)</w:t>
            </w:r>
            <w:r/>
          </w:p>
        </w:tc>
        <w:tc>
          <w:tcPr>
            <w:gridSpan w:val="2"/>
            <w:tcW w:w="2583" w:type="dxa"/>
            <w:textDirection w:val="lrTb"/>
            <w:noWrap w:val="false"/>
          </w:tcPr>
          <w:p>
            <w:pPr>
              <w:jc w:val="center"/>
            </w:pPr>
            <w:r>
              <w:t xml:space="preserve">в том числе по годам:</w:t>
            </w:r>
            <w:r/>
          </w:p>
        </w:tc>
      </w:tr>
      <w:tr>
        <w:trPr>
          <w:jc w:val="center"/>
          <w:trHeight w:val="1980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textDirection w:val="lrTb"/>
            <w:noWrap w:val="false"/>
          </w:tcPr>
          <w:p>
            <w:pPr>
              <w:jc w:val="center"/>
            </w:pPr>
            <w:r>
              <w:t xml:space="preserve">Начало (мм/</w:t>
            </w:r>
            <w:r>
              <w:t xml:space="preserve">гггг</w:t>
            </w:r>
            <w:r>
              <w:t xml:space="preserve">)</w:t>
            </w:r>
            <w:r/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</w:pPr>
            <w:r>
              <w:t xml:space="preserve">Год ввода </w:t>
            </w:r>
            <w:r>
              <w:t xml:space="preserve">объектов инфраструк- туры </w:t>
            </w:r>
            <w:r>
              <w:t xml:space="preserve">в эксплуатацию </w:t>
            </w:r>
            <w:r>
              <w:t xml:space="preserve">в рамках мероприятия проекта, указанного в графе 4 </w:t>
            </w:r>
            <w:r>
              <w:t xml:space="preserve">(мм/</w:t>
            </w:r>
            <w:r>
              <w:t xml:space="preserve">гггг</w:t>
            </w:r>
            <w:r>
              <w:t xml:space="preserve">)</w:t>
            </w:r>
            <w:r/>
          </w:p>
        </w:tc>
        <w:tc>
          <w:tcPr>
            <w:gridSpan w:val="2"/>
            <w:tcW w:w="225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2022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2023</w:t>
            </w:r>
            <w:r/>
          </w:p>
        </w:tc>
      </w:tr>
      <w:tr>
        <w:trPr>
          <w:jc w:val="center"/>
          <w:trHeight w:val="180"/>
        </w:trPr>
        <w:tc>
          <w:tcPr>
            <w:tcW w:w="17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81"/>
              <w:ind w:left="0" w:firstLine="0"/>
              <w:jc w:val="center"/>
              <w:tabs>
                <w:tab w:val="left" w:pos="1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</w:t>
            </w: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3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477"/>
        </w:trPr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2" w:name="_Hlk98500688"/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Реконструкция тепловых сетей с целью снижения аварийности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города Новосибирска Новосибирской области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 сфере теплоснабжения</w:t>
            </w:r>
            <w:r>
              <w:rPr>
                <w:sz w:val="20"/>
                <w:szCs w:val="20"/>
              </w:rPr>
              <w:t xml:space="preserve">.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Общество с ограниченной ответственностью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8"/>
              </w:rPr>
              <w:t xml:space="preserve">«Новосибирская </w:t>
            </w:r>
            <w:r>
              <w:rPr>
                <w:sz w:val="18"/>
                <w:szCs w:val="28"/>
              </w:rPr>
              <w:t xml:space="preserve">теплосетевая</w:t>
            </w:r>
            <w:r>
              <w:rPr>
                <w:sz w:val="18"/>
                <w:szCs w:val="28"/>
              </w:rPr>
              <w:t xml:space="preserve"> компания</w:t>
            </w:r>
            <w:r>
              <w:rPr>
                <w:sz w:val="18"/>
                <w:szCs w:val="28"/>
              </w:rPr>
              <w:t xml:space="preserve">» (ООО «НТСК»)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0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работ по инженерным изысканиям, подготовке проектной документации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Проведение технологического и ценового аудита.</w:t>
            </w:r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ыполнение строительно-монтажных раб</w:t>
            </w:r>
            <w:r>
              <w:rPr>
                <w:sz w:val="20"/>
                <w:szCs w:val="20"/>
              </w:rPr>
              <w:t xml:space="preserve">от по реконструкции тепловых сетей, ввод в </w:t>
            </w:r>
            <w:r>
              <w:rPr>
                <w:sz w:val="20"/>
                <w:szCs w:val="20"/>
              </w:rPr>
              <w:t xml:space="preserve">эксплуатацию объектов.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316" w:leader="none"/>
              </w:tabs>
            </w:pPr>
            <w:r/>
            <w:r/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 Тепловая сеть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ул. Связистов от ТК1501 до ТК1506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2Ду500 мм,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собственность.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 Тепловая сеть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ул. Революции от ТК212 до ТК501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2Ду700 мм,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собственность.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 Тепловая сеть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ул. Дачная от ТК1146 до ТК1148А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2Ду500 мм,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собственность.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 Тепловая сеть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ул. Широкая от ТК1001-12 до ТК1500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2Ду500 мм,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Частная собственность.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ул. Автогенная от ТК0309 до ТК0312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2Ду800 мм с увеличением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2Ду1000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Частная собственность.</w:t>
            </w:r>
            <w:r>
              <w:rPr>
                <w:sz w:val="20"/>
                <w:szCs w:val="20"/>
              </w:rPr>
            </w:r>
            <w:r/>
          </w:p>
          <w:p>
            <w:pPr>
              <w:jc w:val="both"/>
            </w:pPr>
            <w:r/>
            <w:r/>
          </w:p>
        </w:tc>
        <w:tc>
          <w:tcPr>
            <w:tcW w:w="102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>
              <w:t xml:space="preserve">8</w:t>
            </w:r>
            <w:r>
              <w:t xml:space="preserve">.202</w:t>
            </w:r>
            <w:r>
              <w:t xml:space="preserve">2</w:t>
            </w:r>
            <w:r/>
          </w:p>
        </w:tc>
        <w:tc>
          <w:tcPr>
            <w:tcW w:w="132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>
              <w:t xml:space="preserve">.2024</w:t>
            </w: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55" w:type="dxa"/>
            <w:textDirection w:val="lrTb"/>
            <w:noWrap w:val="false"/>
          </w:tcPr>
          <w:p>
            <w:r>
              <w:t xml:space="preserve">ИТОГО, в том числе: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899 783 000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273 553 000</w:t>
            </w:r>
            <w:r/>
          </w:p>
        </w:tc>
        <w:tc>
          <w:tcPr>
            <w:shd w:val="clear" w:color="auto" w:fill="auto"/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626 230 000</w:t>
            </w:r>
            <w:r/>
          </w:p>
        </w:tc>
      </w:tr>
      <w:tr>
        <w:trPr>
          <w:jc w:val="center"/>
          <w:trHeight w:val="330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5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 видам работ: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30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450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55" w:type="dxa"/>
            <w:textDirection w:val="lrTb"/>
            <w:noWrap w:val="false"/>
          </w:tcPr>
          <w:p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проведение технологического и ценового аудита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1 383 000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W w:w="1307" w:type="dxa"/>
            <w:textDirection w:val="lrTb"/>
            <w:noWrap w:val="false"/>
          </w:tcPr>
          <w:p>
            <w:pPr>
              <w:jc w:val="center"/>
            </w:pPr>
            <w:r/>
            <w:r>
              <w:t xml:space="preserve">1 383 000</w:t>
            </w:r>
            <w:r/>
            <w:r/>
            <w:r/>
          </w:p>
        </w:tc>
      </w:tr>
      <w:tr>
        <w:trPr>
          <w:jc w:val="center"/>
          <w:trHeight w:val="525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55" w:type="dxa"/>
            <w:textDirection w:val="lrTb"/>
            <w:noWrap w:val="false"/>
          </w:tcPr>
          <w:p>
            <w:pPr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 xml:space="preserve">выполнение работ по инженерным изысканиям, подготовке проектной </w:t>
            </w:r>
            <w:r>
              <w:rPr>
                <w:bCs/>
                <w:iCs/>
              </w:rPr>
              <w:t xml:space="preserve">документации и ее экспертизе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30 088 000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8 897 000</w:t>
            </w:r>
            <w:r/>
          </w:p>
        </w:tc>
        <w:tc>
          <w:tcPr>
            <w:shd w:val="clear" w:color="auto" w:fill="auto"/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21 191 000</w:t>
            </w:r>
            <w:r/>
          </w:p>
        </w:tc>
      </w:tr>
      <w:tr>
        <w:trPr>
          <w:trHeight w:val="585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r>
              <w:rPr>
                <w:bCs/>
                <w:iCs/>
              </w:rPr>
              <w:t xml:space="preserve">выполнение работ по подключению (технологическому присоединению) объектов капитального строительства к сетям электро-, газо-, тепло-, водоснабжения и водоотведения, сетям связи</w:t>
            </w:r>
            <w:r>
              <w:rPr>
                <w:bCs/>
                <w:iCs/>
              </w:rPr>
            </w:r>
            <w:r/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130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85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r>
              <w:rPr>
                <w:bCs/>
                <w:iCs/>
              </w:rPr>
              <w:t xml:space="preserve">выполнение работ по проведению строительного контроля, авторского надзора в целях реализации проекта</w:t>
            </w:r>
            <w:r>
              <w:rPr>
                <w:bCs/>
                <w:iCs/>
              </w:rPr>
            </w:r>
            <w:r/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130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85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55" w:type="dxa"/>
            <w:textDirection w:val="lrTb"/>
            <w:noWrap w:val="false"/>
          </w:tcPr>
          <w:p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строительно-монтажные работы, включая закупку оборудования и материалов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868 312 000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264 656 000</w:t>
            </w:r>
            <w:r/>
          </w:p>
        </w:tc>
        <w:tc>
          <w:tcPr>
            <w:shd w:val="clear" w:color="auto" w:fill="auto"/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603 656 000</w:t>
            </w:r>
            <w:r/>
          </w:p>
        </w:tc>
      </w:tr>
      <w:tr>
        <w:trPr>
          <w:jc w:val="center"/>
          <w:trHeight w:val="455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5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 источникам финансирования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30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2255" w:type="dxa"/>
            <w:textDirection w:val="lrTb"/>
            <w:noWrap w:val="false"/>
          </w:tcPr>
          <w:p>
            <w:r>
              <w:t xml:space="preserve">средства Фонда ЖКХ за счет средств ФНБ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719 826</w:t>
            </w:r>
            <w:r>
              <w:t xml:space="preserve"> </w:t>
            </w:r>
            <w:r>
              <w:rPr>
                <w:lang w:val="en-US"/>
              </w:rPr>
              <w:t xml:space="preserve">00</w:t>
            </w: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218 842 000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500 984 000</w:t>
            </w:r>
            <w:r/>
          </w:p>
        </w:tc>
      </w:tr>
      <w:tr>
        <w:trPr>
          <w:jc w:val="center"/>
          <w:trHeight w:val="317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2255" w:type="dxa"/>
            <w:textDirection w:val="lrTb"/>
            <w:noWrap w:val="false"/>
          </w:tcPr>
          <w:p>
            <w:r>
              <w:t xml:space="preserve">средства заемщика, всего: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179 957</w:t>
            </w:r>
            <w:r>
              <w:t xml:space="preserve"> 0</w:t>
            </w:r>
            <w:r>
              <w:rPr>
                <w:lang w:val="en-US"/>
              </w:rPr>
              <w:t xml:space="preserve">0</w:t>
            </w: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54 711 000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125 246 000</w:t>
            </w:r>
            <w:r/>
          </w:p>
        </w:tc>
      </w:tr>
      <w:tr>
        <w:trPr>
          <w:jc w:val="center"/>
          <w:trHeight w:val="230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</w:tcBorders>
            <w:tcW w:w="44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t xml:space="preserve">в том числе:</w:t>
            </w:r>
            <w:r/>
          </w:p>
        </w:tc>
        <w:tc>
          <w:tcPr>
            <w:tcW w:w="1815" w:type="dxa"/>
            <w:textDirection w:val="lrTb"/>
            <w:noWrap w:val="false"/>
          </w:tcPr>
          <w:p>
            <w:pPr>
              <w:ind w:left="-27" w:right="-102" w:firstLine="0"/>
            </w:pPr>
            <w:r>
              <w:t xml:space="preserve">собственные средства заемщика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179 957</w:t>
            </w:r>
            <w:r>
              <w:t xml:space="preserve"> 0</w:t>
            </w:r>
            <w:r>
              <w:rPr>
                <w:lang w:val="en-US"/>
              </w:rPr>
              <w:t xml:space="preserve">0</w:t>
            </w:r>
            <w:r>
              <w:t xml:space="preserve">0</w:t>
            </w: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54 711 000</w:t>
            </w:r>
            <w:r/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125 246 000</w:t>
            </w:r>
            <w:r/>
            <w:r/>
          </w:p>
        </w:tc>
      </w:tr>
      <w:tr>
        <w:trPr>
          <w:jc w:val="center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5" w:type="dxa"/>
            <w:textDirection w:val="lrTb"/>
            <w:noWrap w:val="false"/>
          </w:tcPr>
          <w:p>
            <w:pPr>
              <w:ind w:left="-27" w:right="-102" w:firstLine="0"/>
            </w:pPr>
            <w:r>
              <w:t xml:space="preserve">средства кредитных организаций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jc w:val="center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5" w:type="dxa"/>
            <w:textDirection w:val="lrTb"/>
            <w:noWrap w:val="false"/>
          </w:tcPr>
          <w:p>
            <w:pPr>
              <w:ind w:left="-27" w:right="-102" w:firstLine="0"/>
            </w:pPr>
            <w:r>
              <w:t xml:space="preserve">средства институтов развития (ВЭБ.РФ, иные)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jc w:val="center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5" w:type="dxa"/>
            <w:textDirection w:val="lrTb"/>
            <w:noWrap w:val="false"/>
          </w:tcPr>
          <w:p>
            <w:pPr>
              <w:ind w:left="-27" w:right="-102" w:firstLine="0"/>
            </w:pPr>
            <w:r>
              <w:t xml:space="preserve">средства бюджета субъекта РФ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jc w:val="center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5" w:type="dxa"/>
            <w:textDirection w:val="lrTb"/>
            <w:noWrap w:val="false"/>
          </w:tcPr>
          <w:p>
            <w:pPr>
              <w:ind w:left="-27" w:right="-102" w:firstLine="0"/>
            </w:pPr>
            <w:r>
              <w:t xml:space="preserve">средства местного бюджета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jc w:val="center"/>
          <w:trHeight w:val="635"/>
        </w:trPr>
        <w:tc>
          <w:tcPr>
            <w:tcW w:w="17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5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2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4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5" w:type="dxa"/>
            <w:textDirection w:val="lrTb"/>
            <w:noWrap w:val="false"/>
          </w:tcPr>
          <w:p>
            <w:pPr>
              <w:ind w:left="-27" w:right="-102" w:firstLine="0"/>
            </w:pPr>
            <w:r>
              <w:t xml:space="preserve">иные источники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bookmarkEnd w:id="2"/>
            <w:bookmarkEnd w:id="4"/>
            <w:r/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sectPr>
      <w:headerReference w:type="default" r:id="rId9"/>
      <w:footnotePr/>
      <w:endnotePr/>
      <w:type w:val="nextPage"/>
      <w:pgSz w:w="16840" w:h="11907" w:orient="landscape"/>
      <w:pgMar w:top="709" w:right="567" w:bottom="567" w:left="56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85340508"/>
      <w:docPartObj>
        <w:docPartGallery w:val="Page Numbers (Top of Page)"/>
        <w:docPartUnique w:val="true"/>
      </w:docPartObj>
      <w:rPr/>
    </w:sdtPr>
    <w:sdtContent>
      <w:p>
        <w:pPr>
          <w:pStyle w:val="671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1"/>
    <w:next w:val="66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1"/>
    <w:next w:val="6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2"/>
    <w:link w:val="671"/>
    <w:uiPriority w:val="99"/>
  </w:style>
  <w:style w:type="character" w:styleId="45">
    <w:name w:val="Footer Char"/>
    <w:basedOn w:val="662"/>
    <w:link w:val="668"/>
    <w:uiPriority w:val="99"/>
  </w:style>
  <w:style w:type="paragraph" w:styleId="46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8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  <w:rPr>
      <w:rFonts w:cs="Times New Roman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paragraph" w:styleId="665">
    <w:name w:val="Balloon Text"/>
    <w:basedOn w:val="661"/>
    <w:link w:val="66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6" w:customStyle="1">
    <w:name w:val="Текст выноски Знак"/>
    <w:basedOn w:val="662"/>
    <w:link w:val="665"/>
    <w:uiPriority w:val="99"/>
    <w:semiHidden/>
    <w:rPr>
      <w:rFonts w:ascii="Tahoma" w:hAnsi="Tahoma" w:cs="Tahoma"/>
      <w:sz w:val="16"/>
      <w:szCs w:val="16"/>
    </w:rPr>
  </w:style>
  <w:style w:type="paragraph" w:styleId="667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/>
      <w:b/>
      <w:bCs/>
      <w:sz w:val="24"/>
      <w:szCs w:val="24"/>
    </w:rPr>
  </w:style>
  <w:style w:type="paragraph" w:styleId="668">
    <w:name w:val="Footer"/>
    <w:basedOn w:val="661"/>
    <w:link w:val="66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669" w:customStyle="1">
    <w:name w:val="Нижний колонтитул Знак"/>
    <w:basedOn w:val="662"/>
    <w:link w:val="668"/>
    <w:uiPriority w:val="99"/>
    <w:rPr>
      <w:rFonts w:ascii="Times New Roman" w:hAnsi="Times New Roman" w:cs="Times New Roman"/>
      <w:sz w:val="24"/>
      <w:szCs w:val="24"/>
    </w:rPr>
  </w:style>
  <w:style w:type="character" w:styleId="670">
    <w:name w:val="page number"/>
    <w:basedOn w:val="662"/>
    <w:uiPriority w:val="99"/>
    <w:rPr>
      <w:rFonts w:cs="Times New Roman"/>
    </w:rPr>
  </w:style>
  <w:style w:type="paragraph" w:styleId="671">
    <w:name w:val="Header"/>
    <w:basedOn w:val="661"/>
    <w:link w:val="67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672" w:customStyle="1">
    <w:name w:val="Верхний колонтитул Знак"/>
    <w:basedOn w:val="662"/>
    <w:link w:val="671"/>
    <w:uiPriority w:val="99"/>
    <w:rPr>
      <w:rFonts w:ascii="Times New Roman" w:hAnsi="Times New Roman" w:cs="Times New Roman"/>
      <w:sz w:val="24"/>
      <w:szCs w:val="24"/>
    </w:rPr>
  </w:style>
  <w:style w:type="table" w:styleId="673">
    <w:name w:val="Table Grid"/>
    <w:basedOn w:val="66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4" w:customStyle="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 w:customStyle="1">
    <w:name w:val="Сетка таблицы2"/>
    <w:basedOn w:val="663"/>
    <w:next w:val="673"/>
    <w:uiPriority w:val="59"/>
    <w:pPr>
      <w:jc w:val="both"/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6">
    <w:name w:val="annotation reference"/>
    <w:basedOn w:val="662"/>
    <w:uiPriority w:val="99"/>
    <w:semiHidden/>
    <w:unhideWhenUsed/>
    <w:rPr>
      <w:sz w:val="16"/>
      <w:szCs w:val="16"/>
    </w:rPr>
  </w:style>
  <w:style w:type="paragraph" w:styleId="677">
    <w:name w:val="annotation text"/>
    <w:basedOn w:val="661"/>
    <w:link w:val="678"/>
    <w:uiPriority w:val="99"/>
    <w:semiHidden/>
    <w:unhideWhenUsed/>
    <w:pPr>
      <w:jc w:val="both"/>
      <w:spacing w:after="0" w:line="240" w:lineRule="auto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678" w:customStyle="1">
    <w:name w:val="Текст примечания Знак"/>
    <w:basedOn w:val="662"/>
    <w:link w:val="677"/>
    <w:uiPriority w:val="99"/>
    <w:semiHidden/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679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680" w:customStyle="1">
    <w:name w:val="ConsPlusNormal"/>
    <w:pPr>
      <w:spacing w:after="0" w:line="240" w:lineRule="auto"/>
      <w:widowControl w:val="off"/>
    </w:pPr>
    <w:rPr>
      <w:szCs w:val="20"/>
    </w:rPr>
  </w:style>
  <w:style w:type="paragraph" w:styleId="681">
    <w:name w:val="List Paragraph"/>
    <w:basedOn w:val="661"/>
    <w:uiPriority w:val="1"/>
    <w:qFormat/>
    <w:pPr>
      <w:ind w:left="1267" w:hanging="269"/>
      <w:jc w:val="both"/>
      <w:spacing w:after="0" w:line="240" w:lineRule="auto"/>
      <w:widowControl w:val="off"/>
    </w:pPr>
    <w:rPr>
      <w:rFonts w:ascii="Cambria" w:hAnsi="Cambria" w:eastAsia="Cambria" w:cs="Cambria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revision>3</cp:revision>
  <dcterms:created xsi:type="dcterms:W3CDTF">2022-07-14T03:46:00Z</dcterms:created>
  <dcterms:modified xsi:type="dcterms:W3CDTF">2023-11-01T09:32:48Z</dcterms:modified>
</cp:coreProperties>
</file>