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23495</wp:posOffset>
                </wp:positionV>
                <wp:extent cx="558800" cy="6604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8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1.30pt;mso-position-horizontal:absolute;mso-position-vertical-relative:text;margin-top:1.85pt;mso-position-vertical:absolute;width:44.00pt;height:52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p>
      <w:pPr>
        <w:pStyle w:val="907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07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399"/>
        <w:jc w:val="center"/>
        <w:tabs>
          <w:tab w:val="left" w:pos="798" w:leader="none"/>
        </w:tabs>
        <w:rPr>
          <w:b/>
          <w:sz w:val="28"/>
        </w:rPr>
      </w:pPr>
      <w:r>
        <w:rPr>
          <w:b/>
          <w:sz w:val="28"/>
        </w:rPr>
        <w:t xml:space="preserve">ГОСУДАРСТВЕННАЯ ИНСПЕКЦИЯ ПО ОХРАНЕ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6"/>
        <w:ind w:firstLine="399"/>
        <w:jc w:val="center"/>
        <w:tabs>
          <w:tab w:val="left" w:pos="798" w:leader="none"/>
        </w:tabs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ind w:firstLine="399"/>
        <w:jc w:val="center"/>
        <w:tabs>
          <w:tab w:val="left" w:pos="79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center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89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rPr>
          <w:sz w:val="28"/>
        </w:rPr>
      </w:pPr>
      <w:r>
        <w:rPr>
          <w:sz w:val="28"/>
        </w:rPr>
        <w:t xml:space="preserve">________</w:t>
      </w:r>
      <w:r>
        <w:rPr>
          <w:sz w:val="28"/>
        </w:rPr>
        <w:t xml:space="preserve">__</w:t>
        <w:tab/>
      </w:r>
      <w:r>
        <w:rPr>
          <w:sz w:val="28"/>
        </w:rPr>
        <w:t xml:space="preserve">__</w:t>
        <w:tab/>
        <w:tab/>
        <w:tab/>
        <w:tab/>
        <w:tab/>
        <w:tab/>
        <w:tab/>
        <w:tab/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   </w:t>
      </w:r>
      <w:r>
        <w:rPr>
          <w:sz w:val="28"/>
        </w:rPr>
        <w:t xml:space="preserve">№ </w:t>
      </w:r>
      <w:r>
        <w:rPr>
          <w:sz w:val="28"/>
        </w:rPr>
        <w:t xml:space="preserve">_____</w:t>
      </w:r>
      <w:r>
        <w:rPr>
          <w:sz w:val="28"/>
        </w:rPr>
      </w:r>
      <w:r>
        <w:rPr>
          <w:sz w:val="28"/>
        </w:rPr>
      </w:r>
    </w:p>
    <w:p>
      <w:pPr>
        <w:pStyle w:val="89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О внесении изменений в приказ управления по государственной охране объектов культурного наследия Новосибирской области от 17.10.2017 № 197 «Об утверждении Административного регламента государственной инспекции по охране объектов культурного наследия Новоси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культурного наследия федерального значения (за исключением отдельных объектов культурного наследия федер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ального значения, перечень которых утверждается Правительством Российской Федерации), объекта культурного наследия регионального значения, выявленного объекта культурного наследия, если при проведении работ по сохранению объекта культурного наследия затраг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  <w:t xml:space="preserve">иваются конструктивные и другие характеристики надежности и безопасности такого объекта»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89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П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1. Внести в приказ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управления по государственной охране объектов культурного наследия Новосибирской области от 17.10.2017 № 197 «Об утверждении Административного регламента управления по государственной охране объектов культурного наследия Новосибирской области предоставлени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я государственной услуги по выдаче разрешения на строительство в случае осуществления строительства, реконструкции объекта культурного наследия федерального значения (за исключением отдельных объектов культурного наследия федерального значения, перечень ко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торых утверждается Правительством Российской Федерации), объекта культурного наследия регионального значения, выявленного объекта культурного наследия, если при проведении работ по сохранению объекта культурного наследия затрагиваются конструктивные и друг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ие характеристики надежности и безопасности такого объе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кта» следующие изменения: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Административном регламенте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управления по государственной охране объектов культурного наследия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культурного наследия федеральн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объекта культурного наследия регионального значения, выявленного объекта культурного наследия, 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кта: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1) абзац девятый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пункта 9 изложить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Разрешение на строительство, разрешение на строительство с продленным сроком действия и (или) об изменениях в разрешении на строительство оформляются по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форме, утвержденной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приказом Министерства строительства и жилищно-коммунального хозяйства Российской Федерации от 03.06.2022 № 446/пр «Об утверждении формы разрешения на строительство и формы раз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решения на ввод объекта в эксплуатацию»;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пункте 16.1: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подпункт 5 изложить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«5) 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результаты инженерных изысканий и следующие материалы, содержащиеся в утвержденной в соответствии с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частью 15 статьи 48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 Градостроительного кодекса проектной документации,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если указанные документы (их копии или сведения, содержащиеся в них) присутствуют в едином государственном реестре заключений: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пояснительная записка;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лищного фонда);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онструкции других объектов капитального строительства);»;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подпункт 11 изложить в следующей редакции: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11)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копия договора о комплек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в) после подпункта 11 дополнить подпунктом 11.1 следующего содержания: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11.1) согласование архитектурно-градостроительного облика объекта капи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тального строительства в случае, если такое согласование предусмотрено статьей 40.1 Градостроительного кодекса Российской Федерации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3) в пункте 22: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подпункт 1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«1)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государственная историко-культурная экспертиза, результатом которой является документ, указанный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подпункте 3 пункта 13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Административного регламента, выдаваемый 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Правительства Российской Федерации от 25.05.2024 № 530 «Об утверждении Положения о государственной историко-культурной экспертизе;»;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б) в подпункте 2 слова «в подпункте 4 пункта 13» заменить словами «в подпункте 6 пункта 16.1»;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4) в абзаце первом подпункта 1 пункта 24 слова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Правительства Российской Федерации от 15.07.2009 № 569 «Об утверждении Положения о государственной историко-культурной экспертизе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Правительства Российской Федерации от 25.05.2024 № 530 «Об утверждении Положения о государственной историко-культурной экспертизе;»;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5) абзац десятый пункта 50 изложить в следующей редакции: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Разрешение на строительство, разрешение на строительство с продленным сроком действия и (или) внесенными изменениями в разрешение на строительство оформляются по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форме, утвержденной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приказом Министерства строительства и жилищно-коммунального хозяйства Российской Федерации от 03.06.2022 № 446/пр «Об утверждении формы разрешения на строительство и формы раз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решения на ввод объекта в эксплуатацию»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96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Контроль исполнения настоящего приказа оставляю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за собой.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инспекции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акавчик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11"/>
      </w:rPr>
      <w:framePr w:wrap="around" w:vAnchor="text" w:hAnchor="margin" w:xAlign="right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1</w: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90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Style w:val="911"/>
        <w:sz w:val="20"/>
        <w:szCs w:val="20"/>
      </w:rPr>
      <w:framePr w:wrap="around" w:vAnchor="text" w:hAnchor="page" w:x="6321" w:y="-213"/>
    </w:pPr>
    <w:r>
      <w:rPr>
        <w:rStyle w:val="911"/>
        <w:sz w:val="20"/>
        <w:szCs w:val="20"/>
      </w:rPr>
      <w:fldChar w:fldCharType="begin"/>
    </w:r>
    <w:r>
      <w:rPr>
        <w:rStyle w:val="911"/>
        <w:sz w:val="20"/>
        <w:szCs w:val="20"/>
      </w:rPr>
      <w:instrText xml:space="preserve">PAGE  </w:instrText>
    </w:r>
    <w:r>
      <w:rPr>
        <w:rStyle w:val="911"/>
        <w:sz w:val="20"/>
        <w:szCs w:val="20"/>
      </w:rPr>
      <w:fldChar w:fldCharType="separate"/>
    </w:r>
    <w:r>
      <w:rPr>
        <w:rStyle w:val="911"/>
        <w:sz w:val="20"/>
        <w:szCs w:val="20"/>
      </w:rPr>
      <w:t xml:space="preserve">3</w:t>
    </w:r>
    <w:r>
      <w:rPr>
        <w:rStyle w:val="911"/>
        <w:sz w:val="20"/>
        <w:szCs w:val="20"/>
      </w:rPr>
      <w:fldChar w:fldCharType="end"/>
    </w:r>
    <w:r>
      <w:rPr>
        <w:rStyle w:val="911"/>
        <w:sz w:val="20"/>
        <w:szCs w:val="20"/>
      </w:rPr>
    </w:r>
    <w:r>
      <w:rPr>
        <w:rStyle w:val="911"/>
        <w:sz w:val="20"/>
        <w:szCs w:val="20"/>
      </w:rPr>
    </w:r>
  </w:p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1</w: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97">
    <w:name w:val="Заголовок 1"/>
    <w:basedOn w:val="896"/>
    <w:next w:val="896"/>
    <w:link w:val="917"/>
    <w:uiPriority w:val="9"/>
    <w:qFormat/>
    <w:pPr>
      <w:keepLines/>
      <w:keepNext/>
      <w:spacing w:before="48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98">
    <w:name w:val="Заголовок 2"/>
    <w:basedOn w:val="896"/>
    <w:next w:val="896"/>
    <w:link w:val="904"/>
    <w:qFormat/>
    <w:pPr>
      <w:jc w:val="center"/>
      <w:keepNext/>
      <w:outlineLvl w:val="1"/>
    </w:pPr>
    <w:rPr>
      <w:sz w:val="28"/>
      <w:szCs w:val="20"/>
    </w:rPr>
  </w:style>
  <w:style w:type="paragraph" w:styleId="899">
    <w:name w:val="Заголовок 3"/>
    <w:basedOn w:val="896"/>
    <w:next w:val="896"/>
    <w:link w:val="905"/>
    <w:qFormat/>
    <w:pPr>
      <w:jc w:val="both"/>
      <w:keepNext/>
      <w:outlineLvl w:val="2"/>
    </w:pPr>
    <w:rPr>
      <w:szCs w:val="20"/>
    </w:rPr>
  </w:style>
  <w:style w:type="paragraph" w:styleId="900">
    <w:name w:val="Заголовок 4"/>
    <w:basedOn w:val="896"/>
    <w:next w:val="896"/>
    <w:link w:val="906"/>
    <w:qFormat/>
    <w:pPr>
      <w:keepNext/>
      <w:outlineLvl w:val="3"/>
    </w:pPr>
    <w:rPr>
      <w:szCs w:val="20"/>
    </w:rPr>
  </w:style>
  <w:style w:type="character" w:styleId="901">
    <w:name w:val="Основной шрифт абзаца"/>
    <w:next w:val="901"/>
    <w:link w:val="896"/>
    <w:uiPriority w:val="1"/>
    <w:semiHidden/>
    <w:unhideWhenUsed/>
  </w:style>
  <w:style w:type="table" w:styleId="902">
    <w:name w:val="Обычная таблица"/>
    <w:next w:val="902"/>
    <w:link w:val="896"/>
    <w:uiPriority w:val="99"/>
    <w:semiHidden/>
    <w:unhideWhenUsed/>
    <w:tblPr/>
  </w:style>
  <w:style w:type="numbering" w:styleId="903">
    <w:name w:val="Нет списка"/>
    <w:next w:val="903"/>
    <w:link w:val="896"/>
    <w:uiPriority w:val="99"/>
    <w:semiHidden/>
    <w:unhideWhenUsed/>
  </w:style>
  <w:style w:type="character" w:styleId="904">
    <w:name w:val="Заголовок 2 Знак"/>
    <w:next w:val="904"/>
    <w:link w:val="8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5">
    <w:name w:val="Заголовок 3 Знак"/>
    <w:next w:val="905"/>
    <w:link w:val="8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06">
    <w:name w:val="Заголовок 4 Знак"/>
    <w:next w:val="906"/>
    <w:link w:val="90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7">
    <w:name w:val="Название"/>
    <w:basedOn w:val="896"/>
    <w:next w:val="907"/>
    <w:link w:val="908"/>
    <w:qFormat/>
    <w:pPr>
      <w:jc w:val="center"/>
    </w:pPr>
    <w:rPr>
      <w:sz w:val="28"/>
    </w:rPr>
  </w:style>
  <w:style w:type="character" w:styleId="908">
    <w:name w:val="Название Знак"/>
    <w:next w:val="908"/>
    <w:link w:val="90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09">
    <w:name w:val="Нижний колонтитул"/>
    <w:basedOn w:val="896"/>
    <w:next w:val="909"/>
    <w:link w:val="910"/>
    <w:uiPriority w:val="99"/>
    <w:pPr>
      <w:tabs>
        <w:tab w:val="center" w:pos="4677" w:leader="none"/>
        <w:tab w:val="right" w:pos="9355" w:leader="none"/>
      </w:tabs>
    </w:pPr>
  </w:style>
  <w:style w:type="character" w:styleId="910">
    <w:name w:val="Нижний колонтитул Знак"/>
    <w:next w:val="910"/>
    <w:link w:val="90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>
    <w:name w:val="Номер страницы"/>
    <w:basedOn w:val="901"/>
    <w:next w:val="911"/>
    <w:link w:val="896"/>
  </w:style>
  <w:style w:type="paragraph" w:styleId="912">
    <w:name w:val="Верхний колонтитул"/>
    <w:basedOn w:val="896"/>
    <w:next w:val="912"/>
    <w:link w:val="913"/>
    <w:pPr>
      <w:tabs>
        <w:tab w:val="center" w:pos="4677" w:leader="none"/>
        <w:tab w:val="right" w:pos="9355" w:leader="none"/>
      </w:tabs>
    </w:pPr>
  </w:style>
  <w:style w:type="character" w:styleId="913">
    <w:name w:val="Верхний колонтитул Знак"/>
    <w:next w:val="913"/>
    <w:link w:val="91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>
    <w:name w:val="Абзац списка"/>
    <w:basedOn w:val="896"/>
    <w:next w:val="914"/>
    <w:link w:val="896"/>
    <w:uiPriority w:val="34"/>
    <w:qFormat/>
    <w:pPr>
      <w:contextualSpacing/>
      <w:ind w:left="720"/>
    </w:pPr>
  </w:style>
  <w:style w:type="paragraph" w:styleId="915">
    <w:name w:val="Текст выноски"/>
    <w:basedOn w:val="896"/>
    <w:next w:val="915"/>
    <w:link w:val="916"/>
    <w:uiPriority w:val="99"/>
    <w:semiHidden/>
    <w:unhideWhenUsed/>
    <w:rPr>
      <w:rFonts w:ascii="Tahoma" w:hAnsi="Tahoma" w:cs="Tahoma"/>
      <w:sz w:val="16"/>
      <w:szCs w:val="16"/>
    </w:rPr>
  </w:style>
  <w:style w:type="character" w:styleId="916">
    <w:name w:val="Текст выноски Знак"/>
    <w:next w:val="916"/>
    <w:link w:val="91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17">
    <w:name w:val="Заголовок 1 Знак"/>
    <w:next w:val="917"/>
    <w:link w:val="897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АС</dc:creator>
  <cp:revision>42</cp:revision>
  <dcterms:created xsi:type="dcterms:W3CDTF">2023-02-03T08:29:00Z</dcterms:created>
  <dcterms:modified xsi:type="dcterms:W3CDTF">2024-09-11T03:35:28Z</dcterms:modified>
  <cp:version>917504</cp:version>
</cp:coreProperties>
</file>