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A2F" w:rsidRDefault="00040A2F">
      <w:pPr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040A2F" w:rsidRDefault="00040A2F">
      <w:pPr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</w:t>
      </w:r>
    </w:p>
    <w:p w:rsidR="00040A2F" w:rsidRDefault="00040A2F">
      <w:pPr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040A2F" w:rsidRDefault="00040A2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40A2F" w:rsidRDefault="00040A2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40A2F" w:rsidRDefault="00040A2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</w:p>
    <w:p w:rsidR="00040A2F" w:rsidRDefault="00040A2F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 28.01.2015 № 28-п</w:t>
      </w:r>
    </w:p>
    <w:p w:rsidR="00040A2F" w:rsidRDefault="00040A2F">
      <w:pPr>
        <w:contextualSpacing/>
        <w:jc w:val="center"/>
        <w:rPr>
          <w:color w:val="000000"/>
          <w:sz w:val="28"/>
          <w:szCs w:val="28"/>
        </w:rPr>
      </w:pPr>
    </w:p>
    <w:p w:rsidR="00040A2F" w:rsidRDefault="00040A2F">
      <w:pPr>
        <w:contextualSpacing/>
        <w:jc w:val="both"/>
        <w:rPr>
          <w:color w:val="000000"/>
          <w:sz w:val="28"/>
          <w:szCs w:val="28"/>
        </w:rPr>
      </w:pPr>
    </w:p>
    <w:p w:rsidR="00040A2F" w:rsidRDefault="00040A2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color w:val="000000"/>
          <w:sz w:val="28"/>
          <w:szCs w:val="28"/>
        </w:rPr>
        <w:t>п о с т а н о в л я е т</w:t>
      </w:r>
      <w:r>
        <w:rPr>
          <w:color w:val="000000"/>
          <w:sz w:val="28"/>
          <w:szCs w:val="28"/>
        </w:rPr>
        <w:t>:</w:t>
      </w:r>
    </w:p>
    <w:p w:rsidR="00040A2F" w:rsidRDefault="00040A2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Правительства Новосибирской области от 28.01.2015 № 28-п «О государственной программе Новосибирской области «Охрана окружающей среды» (далее – постановление) следующие изменения: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>
        <w:rPr>
          <w:sz w:val="28"/>
          <w:szCs w:val="28"/>
        </w:rPr>
        <w:t xml:space="preserve"> государственной программе Новосибирской области «Охрана окружающей среды» (далее – государственная программа):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раздел I «Паспорт государственной программы Новосибирской области» изложить в следующей редакции:</w:t>
      </w:r>
    </w:p>
    <w:p w:rsidR="00040A2F" w:rsidRDefault="00040A2F">
      <w:pPr>
        <w:contextualSpacing/>
        <w:jc w:val="both"/>
        <w:rPr>
          <w:b/>
          <w:bCs/>
          <w:sz w:val="28"/>
          <w:szCs w:val="28"/>
        </w:rPr>
      </w:pPr>
    </w:p>
    <w:p w:rsidR="00040A2F" w:rsidRDefault="00040A2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«I. Стратегические приоритеты в сфере реализации</w:t>
      </w:r>
    </w:p>
    <w:p w:rsidR="00040A2F" w:rsidRDefault="00040A2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программы Новосибирской области </w:t>
      </w:r>
    </w:p>
    <w:p w:rsidR="00040A2F" w:rsidRDefault="00040A2F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«Охрана окружающей среды»</w:t>
      </w:r>
    </w:p>
    <w:p w:rsidR="00040A2F" w:rsidRDefault="00040A2F">
      <w:pPr>
        <w:contextualSpacing/>
        <w:jc w:val="center"/>
        <w:rPr>
          <w:sz w:val="28"/>
          <w:szCs w:val="28"/>
        </w:rPr>
      </w:pPr>
    </w:p>
    <w:p w:rsidR="00040A2F" w:rsidRDefault="00040A2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Оценка текущего состояния сферы реализации </w:t>
      </w:r>
    </w:p>
    <w:p w:rsidR="00040A2F" w:rsidRDefault="00040A2F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государственной программы</w:t>
      </w:r>
    </w:p>
    <w:p w:rsidR="00040A2F" w:rsidRDefault="00040A2F">
      <w:pPr>
        <w:contextualSpacing/>
        <w:jc w:val="center"/>
        <w:rPr>
          <w:b/>
          <w:bCs/>
          <w:sz w:val="28"/>
          <w:szCs w:val="28"/>
        </w:rPr>
      </w:pP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Вопросы охраны окружающей среды и обеспечения экологической безопасности в последние годы являются приоритетными при осуществлении государственной политики в Новосибирской области. 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Устойчивое развитие региона во многом зависит от состояния природных ресурсов и окружающей среды в целом. Среди природных ресурсов особую значимость имеет биологическое разнообразие (далее – биоразнообразие) – совокупность биологических видов, их сообществ и экосистем в целом.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Важнейшей формой сохранения биологического и ландшафтного разнообразия, а также защите видов животных, растений и грибов, в том числе редких и занесенных в Красную книгу Российской Федерации и Красную книгу Новосибирской области, является организация особо охраняемых природных территорий (далее – ООПТ). 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ООПТ – это участки земли, водной поверхности и воздушного пространства над ними, где располагаются природные комплексы и объекты, которые имеют особое природоохранное, научное, культурное, эстетическое, рекреационное и оздоровительное значение, которые изъяты решениями органов государственной власти полностью или частично из хозяйственного использования и для которых установлен режим особой охраны.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ООПТ являются объектами общенационального достояния.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ООПТ Новосибирской области имеют важное значения с научной точки зрения для исследования и сохранения естественных экосистем и ландшафтов, мониторинга региональных и глобальных изменений биосферы, а также изучению и сохранению биоразнообразия региона.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Функционирование и развитие сети ООПТ на территории области способствует сохранению редких и находящихся под угрозой исчезновения видов животных, растений и грибов, внесенных в Красные книги Новосибирской области и Российской Федерации. 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На сегодняшний момент на территории Новосибирской области обитает 414 видов позвоночных животных, произрастает более 1350 видов растений и грибов. В Красную книгу Новосибирской области занесены 345 видов (158 видов животных, 187 растений и грибов), из них 84 вида занесены также в Красную книгу Российской Федерации.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В систему ООПТ Новосибирской области вошли ценные природные комплексы (лесные, речные, болотные, озерные, степные) и ландшафты, места произрастания (обитания) редких находящихся под угрозой исчезновения видов растений, животных и грибов. На ООПТ обитает (произрастает) более 50% представителей флоры и фауны Новосибирской области, в том числе более 70% редких видов.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На 01.01.2024 на территории области функционировало 87 ООПТ, общей площадью 1 750,0 тыс. га или 9,8% от общей площади региона. В зависимости от назначения и режима особой охраны в Новосибирской области действуют следующие ООПТ: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государственный природный заповедник «Васюганский»;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государственный природный заказник федерального значения «</w:t>
      </w:r>
      <w:proofErr w:type="spellStart"/>
      <w:r w:rsidRPr="009545B3">
        <w:rPr>
          <w:rFonts w:ascii="Times New Roman" w:hAnsi="Times New Roman" w:cs="Times New Roman"/>
          <w:color w:val="000000"/>
          <w:sz w:val="28"/>
          <w:szCs w:val="28"/>
        </w:rPr>
        <w:t>Кирзинский</w:t>
      </w:r>
      <w:proofErr w:type="spellEnd"/>
      <w:r w:rsidRPr="009545B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Дендрологический сад Новосибирской зональной плодово-ягодной опытной станции им. И.В. Мичурина;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Центральный сибирский ботанический сад Сибирского отделения Российской академии наук;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особо охраняемая природная территория регионального значения - природный парк «</w:t>
      </w:r>
      <w:proofErr w:type="spellStart"/>
      <w:r w:rsidRPr="009545B3">
        <w:rPr>
          <w:rFonts w:ascii="Times New Roman" w:hAnsi="Times New Roman" w:cs="Times New Roman"/>
          <w:color w:val="000000"/>
          <w:sz w:val="28"/>
          <w:szCs w:val="28"/>
        </w:rPr>
        <w:t>Караканский</w:t>
      </w:r>
      <w:proofErr w:type="spellEnd"/>
      <w:r w:rsidRPr="009545B3">
        <w:rPr>
          <w:rFonts w:ascii="Times New Roman" w:hAnsi="Times New Roman" w:cs="Times New Roman"/>
          <w:color w:val="000000"/>
          <w:sz w:val="28"/>
          <w:szCs w:val="28"/>
        </w:rPr>
        <w:t xml:space="preserve"> бор» Новосибирской области;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особо охраняемая природная территория регионального значения – лесной парк «</w:t>
      </w:r>
      <w:proofErr w:type="spellStart"/>
      <w:r w:rsidRPr="009545B3">
        <w:rPr>
          <w:rFonts w:ascii="Times New Roman" w:hAnsi="Times New Roman" w:cs="Times New Roman"/>
          <w:color w:val="000000"/>
          <w:sz w:val="28"/>
          <w:szCs w:val="28"/>
        </w:rPr>
        <w:t>Заельцовский</w:t>
      </w:r>
      <w:proofErr w:type="spellEnd"/>
      <w:r w:rsidRPr="009545B3">
        <w:rPr>
          <w:rFonts w:ascii="Times New Roman" w:hAnsi="Times New Roman" w:cs="Times New Roman"/>
          <w:color w:val="000000"/>
          <w:sz w:val="28"/>
          <w:szCs w:val="28"/>
        </w:rPr>
        <w:t xml:space="preserve"> бор» Новосибирской области;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24 государственных природных заказника регионального значения;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54 памятника природы регионального значения;</w:t>
      </w:r>
    </w:p>
    <w:p w:rsidR="009545B3" w:rsidRPr="009545B3" w:rsidRDefault="009545B3" w:rsidP="009545B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– 3 ООПТ местного значения: особо охраняемая природная территория местного значения «Городской парк «</w:t>
      </w:r>
      <w:proofErr w:type="spellStart"/>
      <w:r w:rsidRPr="009545B3">
        <w:rPr>
          <w:rFonts w:ascii="Times New Roman" w:hAnsi="Times New Roman" w:cs="Times New Roman"/>
          <w:color w:val="000000"/>
          <w:sz w:val="28"/>
          <w:szCs w:val="28"/>
        </w:rPr>
        <w:t>Бердская</w:t>
      </w:r>
      <w:proofErr w:type="spellEnd"/>
      <w:r w:rsidRPr="009545B3">
        <w:rPr>
          <w:rFonts w:ascii="Times New Roman" w:hAnsi="Times New Roman" w:cs="Times New Roman"/>
          <w:color w:val="000000"/>
          <w:sz w:val="28"/>
          <w:szCs w:val="28"/>
        </w:rPr>
        <w:t xml:space="preserve"> коса» города Бердска, особо охраняемая природная территория местного значения в районе ул. Репина города Бердска Новосибирской области – городской парк, особо охраняемая природная территория местного значения – природная заповедная территория «Лесопарк имени академика </w:t>
      </w:r>
      <w:proofErr w:type="spellStart"/>
      <w:r w:rsidRPr="009545B3">
        <w:rPr>
          <w:rFonts w:ascii="Times New Roman" w:hAnsi="Times New Roman" w:cs="Times New Roman"/>
          <w:color w:val="000000"/>
          <w:sz w:val="28"/>
          <w:szCs w:val="28"/>
        </w:rPr>
        <w:t>Синягина</w:t>
      </w:r>
      <w:proofErr w:type="spellEnd"/>
      <w:r w:rsidRPr="009545B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545B3" w:rsidRPr="009545B3" w:rsidRDefault="009545B3" w:rsidP="009545B3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45B3">
        <w:rPr>
          <w:rFonts w:ascii="Times New Roman" w:hAnsi="Times New Roman" w:cs="Times New Roman"/>
          <w:color w:val="000000"/>
          <w:sz w:val="28"/>
          <w:szCs w:val="28"/>
        </w:rPr>
        <w:t>Сведения о границах особо охраняемых природных территорий регионального значения внесены в Единый государственный реестр недвижимости в полном объеме.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Для информирования граждан об особо охраняемых природных территориях </w:t>
      </w:r>
      <w:r>
        <w:rPr>
          <w:sz w:val="28"/>
          <w:szCs w:val="28"/>
        </w:rPr>
        <w:lastRenderedPageBreak/>
        <w:t>на местности устанавливаются специальные предупреждающие информационные знаки (аншлаги).</w:t>
      </w:r>
    </w:p>
    <w:p w:rsidR="00040A2F" w:rsidRDefault="00040A2F">
      <w:pPr>
        <w:ind w:firstLine="720"/>
        <w:contextualSpacing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sz w:val="28"/>
          <w:szCs w:val="28"/>
        </w:rPr>
        <w:t>Поверхностные водные объекты государственного водного фонда Новосибирской области представлены водотоками (реки, ручьи и осушительные каналы) в количестве более 7 тысяч и водоемами (водохранилище, озера, пруды, болота) в количестве свыше 6 тысяч.</w:t>
      </w:r>
    </w:p>
    <w:p w:rsidR="00040A2F" w:rsidRDefault="00040A2F">
      <w:pPr>
        <w:ind w:firstLine="720"/>
        <w:contextualSpacing/>
        <w:jc w:val="both"/>
        <w:rPr>
          <w:sz w:val="24"/>
          <w:szCs w:val="24"/>
          <w:highlight w:val="white"/>
        </w:rPr>
      </w:pPr>
      <w:r>
        <w:rPr>
          <w:sz w:val="28"/>
          <w:szCs w:val="28"/>
        </w:rPr>
        <w:t>Общие ресурсы поверхностных вод по Новосибирской области составляют в среднем 64,3 км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год. Количество мельчайших водотоков длиной менее 10 км </w:t>
      </w:r>
      <w:r>
        <w:rPr>
          <w:sz w:val="28"/>
          <w:szCs w:val="28"/>
          <w:highlight w:val="white"/>
        </w:rPr>
        <w:t>составляет более 94,2 % от общего количества водотоков региона.</w:t>
      </w:r>
    </w:p>
    <w:p w:rsidR="00040A2F" w:rsidRDefault="00040A2F">
      <w:pPr>
        <w:ind w:firstLine="720"/>
        <w:contextualSpacing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На территории Новосибирской области расположено более 3 000 озер, в том числе около 520 озер с площадью зеркала свыше 1 км</w:t>
      </w:r>
      <w:r>
        <w:rPr>
          <w:sz w:val="28"/>
          <w:szCs w:val="28"/>
          <w:highlight w:val="white"/>
          <w:vertAlign w:val="superscript"/>
        </w:rPr>
        <w:t>2</w:t>
      </w:r>
      <w:r>
        <w:rPr>
          <w:sz w:val="28"/>
          <w:szCs w:val="28"/>
          <w:highlight w:val="white"/>
        </w:rPr>
        <w:t>.</w:t>
      </w:r>
    </w:p>
    <w:p w:rsidR="00040A2F" w:rsidRDefault="00040A2F">
      <w:pPr>
        <w:ind w:firstLine="720"/>
        <w:contextualSpacing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Вопрос поддержания экологически полноценного состояния рек области актуален и стоит очень остро. Деградация рек происходит из-за возрастающей антропогенной нагрузки. Кроме того, слабый уклон местности определяет медленное течение и сильную извилистость русел рек, заиление, загрязнение и, как следствие, обмеление. В результате многие реки утрачивают свои естественно-природные качества и нуждаются в восстановлении.</w:t>
      </w:r>
    </w:p>
    <w:p w:rsidR="00040A2F" w:rsidRDefault="00040A2F">
      <w:pPr>
        <w:ind w:firstLine="72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 целью сохранения и восстановления водных объектов для улучшения экологических условий проживания вблизи водных объектов на территории </w:t>
      </w:r>
      <w:r w:rsidR="00A55CF1">
        <w:rPr>
          <w:sz w:val="28"/>
          <w:szCs w:val="28"/>
          <w:highlight w:val="white"/>
        </w:rPr>
        <w:t xml:space="preserve">Новосибирской </w:t>
      </w:r>
      <w:r>
        <w:rPr>
          <w:sz w:val="28"/>
          <w:szCs w:val="28"/>
          <w:highlight w:val="white"/>
        </w:rPr>
        <w:t>области в период 20</w:t>
      </w:r>
      <w:r w:rsidR="00A55CF1">
        <w:rPr>
          <w:sz w:val="28"/>
          <w:szCs w:val="28"/>
          <w:highlight w:val="white"/>
        </w:rPr>
        <w:t>19</w:t>
      </w:r>
      <w:r>
        <w:rPr>
          <w:sz w:val="28"/>
          <w:szCs w:val="28"/>
          <w:highlight w:val="white"/>
        </w:rPr>
        <w:t xml:space="preserve"> - 2024 гг. реализуется региональный проект </w:t>
      </w:r>
      <w:r w:rsidR="00A55CF1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Сохранение и восстановление водных объектов</w:t>
      </w:r>
      <w:r w:rsidR="00A55CF1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национального проекта </w:t>
      </w:r>
      <w:r w:rsidR="00A55CF1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Экология</w:t>
      </w:r>
      <w:r w:rsidR="00A55CF1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, в рамках которого проведены мероприятия по расчистке участков русла р. Баган в границах с. Довольное Доволенского района, озера Довольное Доволенского района и озера Половинное Краснозерского района.</w:t>
      </w:r>
    </w:p>
    <w:p w:rsidR="00040A2F" w:rsidRDefault="00040A2F">
      <w:pPr>
        <w:ind w:firstLine="72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Общая площадь охотничьих угодий Новосибирской области в 2022 году составила 15499,19 тыс. га, в том числе 9530.46 тыс. га закрепленных охотничьих угодий (61,49 % от общей площади охотничьих угодий) и 5968.73 тыс. га общедоступных охотничьих угодий (38.51 % от общей площади охотничьих угодий). Для сохранения охотничьих ресурсов в Новосибирской области созданы 24 государственных природных заказника регионального значения общей площадью 1 331,2 тыс. га.</w:t>
      </w:r>
    </w:p>
    <w:p w:rsidR="00040A2F" w:rsidRDefault="00040A2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На </w:t>
      </w:r>
      <w:r w:rsidR="009545B3">
        <w:rPr>
          <w:sz w:val="28"/>
          <w:szCs w:val="28"/>
          <w:highlight w:val="white"/>
        </w:rPr>
        <w:t>территории области</w:t>
      </w:r>
      <w:r>
        <w:rPr>
          <w:sz w:val="28"/>
          <w:szCs w:val="28"/>
          <w:highlight w:val="white"/>
        </w:rPr>
        <w:t xml:space="preserve"> по состоянию на 01.01.2024 расположены 111 охотничьих хозяйств. Деятельность по ведению охотничьего хозяйства в 2022 </w:t>
      </w:r>
      <w:r>
        <w:rPr>
          <w:sz w:val="28"/>
          <w:szCs w:val="28"/>
        </w:rPr>
        <w:t>году осуществлял юридические лица и индивидуальные предприниматели общим количество 71, численность работников которых составила более 400 человек.</w:t>
      </w:r>
    </w:p>
    <w:p w:rsidR="00040A2F" w:rsidRDefault="00040A2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92 гидротехнических сооружения. Актуальным остается вопрос приведения гидротехнических сооружений, выработавших свой ресурс и находящихся в неудовлетворительном и опасном уровне безопасности, в безопасное техническое состояние. Данные обстоятельства требуют принятия мер по их реконструкции, капитальному и текущему ремонту, развитию и укреплению эксплуатационных служб.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По состоянию на 01.01.2024 г. на территории Новосибирской области разведано 484 месторождения общераспространенных полезных ископаемых, в том числе: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33 месторождения строительных камней и известняков;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53 месторождение строительных песков и песчано-гравийных материалов;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lastRenderedPageBreak/>
        <w:t>148 месторождений кирпичного сырья;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78 месторождений сапропеля;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171 месторождение торфа;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1 месторождение суглинков.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Новосибирская область занимает лидирующие позиции по добыче общераспространенных полезных ископаемых в Сибирском федеральном округе.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В 2023 году (по предварительным данным) объем добычи общераспространенных полезных ископаемых составил 13 300,0 тыс. 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>: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строительные камни – 5500,0 тыс. 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>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строительные известняки – 500,0 тыс. 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>;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кирпичные суглинки – 650,0 тыс. 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 xml:space="preserve">; 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песок и песчано-гравийная смесь – 6 650,0 тыс. 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>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В общей сложности объемы разведанных запасов строительных материалов (строительных камней, известняков, строительных песков, песчано-гравийных материалов, кирпичных суглинков) в регионе оце</w:t>
      </w:r>
      <w:r w:rsidR="009545B3">
        <w:rPr>
          <w:rFonts w:ascii=" Times New Roman" w:hAnsi=" Times New Roman" w:cs=" Times New Roman"/>
          <w:color w:val="000000"/>
          <w:sz w:val="28"/>
          <w:szCs w:val="28"/>
        </w:rPr>
        <w:t>ниваются в более чем в 933 млн. </w:t>
      </w:r>
      <w:r>
        <w:rPr>
          <w:rFonts w:ascii=" Times New Roman" w:hAnsi=" Times New Roman" w:cs=" Times New Roman"/>
          <w:color w:val="000000"/>
          <w:sz w:val="28"/>
          <w:szCs w:val="28"/>
        </w:rPr>
        <w:t>м</w:t>
      </w:r>
      <w:r>
        <w:rPr>
          <w:rFonts w:ascii=" Times New Roman" w:hAnsi=" Times New Roman" w:cs=" Times New Roman"/>
          <w:color w:val="000000"/>
          <w:sz w:val="23"/>
          <w:szCs w:val="23"/>
          <w:vertAlign w:val="superscript"/>
        </w:rPr>
        <w:t>3</w:t>
      </w:r>
      <w:r>
        <w:rPr>
          <w:rFonts w:ascii=" Times New Roman" w:hAnsi=" Times New Roman" w:cs=" Times New Roman"/>
          <w:color w:val="000000"/>
          <w:sz w:val="28"/>
          <w:szCs w:val="28"/>
        </w:rPr>
        <w:t>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 xml:space="preserve">Общераспространенные полезные ископаемые Новосибирской области представлены строительными песками и песчано-гравийными материалами, строительными камнями, строительными известняками, суглинками и кирпичными суглинками, керамзитовым и </w:t>
      </w:r>
      <w:proofErr w:type="spellStart"/>
      <w:r>
        <w:rPr>
          <w:rFonts w:ascii=" Times New Roman" w:hAnsi=" Times New Roman" w:cs=" Times New Roman"/>
          <w:color w:val="000000"/>
          <w:sz w:val="28"/>
          <w:szCs w:val="28"/>
        </w:rPr>
        <w:t>аглопоритовым</w:t>
      </w:r>
      <w:proofErr w:type="spellEnd"/>
      <w:r>
        <w:rPr>
          <w:rFonts w:ascii=" Times New Roman" w:hAnsi=" Times New Roman" w:cs=" Times New Roman"/>
          <w:color w:val="000000"/>
          <w:sz w:val="28"/>
          <w:szCs w:val="28"/>
        </w:rPr>
        <w:t xml:space="preserve"> сырьем, сапропелем и торфом.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На 01.01.2024 на территориальном балансе запасов общераспространенных полезных ископаемых Новосибирской области числится 233 месторождения строительных материалов, что позволяет обеспечивать в полном объеме потребности в материалах строительной и дорожной индустрий области. Продукция местных горнодобывающих предприятий не только полностью обеспечивает потребность Новосибирской области, но и поставляется в другие регионы.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Всего, с момента исполнения полномочий по распоряжению участками недр местного значения, департаментом природных ресурсов и охраны окружающей среды Новосибирской области, а после его реорганизации 22.03.2018 министерством природных ресурсов и экологии Новосибирской области, являющимся областным исполнительным органом государственной власти области в сфере рационального использования природных ресурсов выдано 852 лицензии на пользование участками недр местного значения.</w:t>
      </w:r>
    </w:p>
    <w:p w:rsidR="00040A2F" w:rsidRDefault="00040A2F">
      <w:pPr>
        <w:ind w:firstLine="567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color w:val="000000"/>
          <w:sz w:val="28"/>
          <w:szCs w:val="28"/>
        </w:rPr>
        <w:t>На территории Новосибирской области добычу общераспространенных полезных ископаемых (строительных материалов) осуществляет 41 предприятие. Все хозяйствующие субъекты - частной формы собственности.</w:t>
      </w:r>
    </w:p>
    <w:p w:rsidR="00040A2F" w:rsidRDefault="00040A2F">
      <w:pPr>
        <w:contextualSpacing/>
        <w:jc w:val="both"/>
        <w:rPr>
          <w:sz w:val="24"/>
          <w:szCs w:val="24"/>
        </w:rPr>
      </w:pPr>
    </w:p>
    <w:p w:rsidR="00040A2F" w:rsidRDefault="00040A2F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2. Приоритеты и цели государственной политики в сфере реализации</w:t>
      </w:r>
    </w:p>
    <w:p w:rsidR="00040A2F" w:rsidRDefault="00040A2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</w:t>
      </w:r>
    </w:p>
    <w:p w:rsidR="00040A2F" w:rsidRDefault="00040A2F">
      <w:pPr>
        <w:contextualSpacing/>
        <w:jc w:val="both"/>
        <w:rPr>
          <w:sz w:val="24"/>
          <w:szCs w:val="24"/>
        </w:rPr>
      </w:pP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Приоритетами государственной политики в сфере охраны окружающей среды, воспроизводства и использования природных ресурсов являются улучшение количественных и качественных показателей водных объектов, находящихся в государственной собственности, а также обеспечение устойчивого существования </w:t>
      </w:r>
      <w:r>
        <w:rPr>
          <w:sz w:val="28"/>
          <w:szCs w:val="28"/>
        </w:rPr>
        <w:lastRenderedPageBreak/>
        <w:t>и использования охотничьих ресурсов, иных объектов животного мира, сохранение их биологического разнообразия.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основу </w:t>
      </w:r>
      <w:r w:rsidR="00AD56BE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программы заложен проектный принцип ее реализации, что позволяет комплексно реализовывать природоохранные проекты, целенаправленно повышая их экономический и социальный потенциал, в том числе в части привлечения финансирования. 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Цели и задачи государственной программы Новосибирской области </w:t>
      </w:r>
      <w:r w:rsidR="009545B3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="009545B3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соответствуют следующим стратегическим документам: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Указ Президента Российской Федерации от 21 июля 2020 года </w:t>
      </w:r>
      <w:r w:rsidR="009545B3">
        <w:rPr>
          <w:sz w:val="28"/>
          <w:szCs w:val="28"/>
        </w:rPr>
        <w:t>№</w:t>
      </w:r>
      <w:r>
        <w:rPr>
          <w:sz w:val="28"/>
          <w:szCs w:val="28"/>
        </w:rPr>
        <w:t xml:space="preserve"> 474 </w:t>
      </w:r>
      <w:r w:rsidR="009545B3">
        <w:rPr>
          <w:sz w:val="28"/>
          <w:szCs w:val="28"/>
        </w:rPr>
        <w:t>«</w:t>
      </w:r>
      <w:r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9545B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Указ Президента РФ от 19.04.2017 </w:t>
      </w:r>
      <w:r w:rsidR="009545B3">
        <w:rPr>
          <w:sz w:val="28"/>
          <w:szCs w:val="28"/>
        </w:rPr>
        <w:t>№</w:t>
      </w:r>
      <w:r>
        <w:rPr>
          <w:sz w:val="28"/>
          <w:szCs w:val="28"/>
        </w:rPr>
        <w:t xml:space="preserve"> 176 </w:t>
      </w:r>
      <w:r w:rsidR="009545B3">
        <w:rPr>
          <w:sz w:val="28"/>
          <w:szCs w:val="28"/>
        </w:rPr>
        <w:t>«</w:t>
      </w:r>
      <w:r>
        <w:rPr>
          <w:sz w:val="28"/>
          <w:szCs w:val="28"/>
        </w:rPr>
        <w:t>О Стратегии экологической безопасности Российской Федерации на период до 2025 года</w:t>
      </w:r>
      <w:r w:rsidR="009545B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Указ Президента Российской Федерации от 2 июля 2021 года </w:t>
      </w:r>
      <w:r w:rsidR="009545B3">
        <w:rPr>
          <w:sz w:val="28"/>
          <w:szCs w:val="28"/>
        </w:rPr>
        <w:t>№</w:t>
      </w:r>
      <w:r>
        <w:rPr>
          <w:sz w:val="28"/>
          <w:szCs w:val="28"/>
        </w:rPr>
        <w:t xml:space="preserve"> 400 </w:t>
      </w:r>
      <w:r w:rsidR="009545B3">
        <w:rPr>
          <w:sz w:val="28"/>
          <w:szCs w:val="28"/>
        </w:rPr>
        <w:t>«</w:t>
      </w:r>
      <w:r>
        <w:rPr>
          <w:sz w:val="28"/>
          <w:szCs w:val="28"/>
        </w:rPr>
        <w:t>О Стратегии национальной безопасности Российской Федерации</w:t>
      </w:r>
      <w:r w:rsidR="009545B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4. Стратегия пространственного развития Российской Федерации на период до 2025 года, утвержденная распоряжением Правительства Российской Федерации от 13 февраля 2019 года </w:t>
      </w:r>
      <w:r w:rsidR="009545B3">
        <w:rPr>
          <w:sz w:val="28"/>
          <w:szCs w:val="28"/>
        </w:rPr>
        <w:t>№</w:t>
      </w:r>
      <w:r>
        <w:rPr>
          <w:sz w:val="28"/>
          <w:szCs w:val="28"/>
        </w:rPr>
        <w:t xml:space="preserve"> 207-р;</w:t>
      </w:r>
    </w:p>
    <w:p w:rsidR="00040A2F" w:rsidRDefault="00040A2F">
      <w:pPr>
        <w:ind w:firstLine="720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 Перечень поручений президента Российской Федерации по вопросам охраны, воспроизводства и использования объектов животного мира и охотничьих ресурсов от 8 декабря 2016 года </w:t>
      </w:r>
      <w:r w:rsidR="009545B3">
        <w:rPr>
          <w:sz w:val="28"/>
          <w:szCs w:val="28"/>
        </w:rPr>
        <w:t>№</w:t>
      </w:r>
      <w:r>
        <w:rPr>
          <w:sz w:val="28"/>
          <w:szCs w:val="28"/>
        </w:rPr>
        <w:t xml:space="preserve"> Пр-2374;</w:t>
      </w:r>
    </w:p>
    <w:p w:rsidR="00040A2F" w:rsidRDefault="00040A2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D56BE">
        <w:rPr>
          <w:sz w:val="28"/>
          <w:szCs w:val="28"/>
        </w:rPr>
        <w:t>Государственная программа Российской Федерации «Воспроизводство и использование природных ресурсов», утвержденная Постановлением Правительства Российской Федерации от 15 апреля 2014 года № 322;</w:t>
      </w:r>
    </w:p>
    <w:p w:rsidR="00AD56BE" w:rsidRDefault="009545B3" w:rsidP="00AD56B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D56BE" w:rsidRPr="00AD56BE">
        <w:rPr>
          <w:sz w:val="24"/>
          <w:szCs w:val="24"/>
        </w:rPr>
        <w:t xml:space="preserve"> </w:t>
      </w:r>
      <w:r w:rsidR="00AD56BE">
        <w:rPr>
          <w:sz w:val="28"/>
          <w:szCs w:val="28"/>
        </w:rPr>
        <w:t>Государственная программа Российской Федерации «Воспроизводство и использование природных ресурсов», утвержденная Постановлением Правительства Российской Федерации от 15 апреля 2014 года № 322;</w:t>
      </w:r>
    </w:p>
    <w:p w:rsidR="00040A2F" w:rsidRDefault="00040A2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Стратегия </w:t>
      </w:r>
      <w:r w:rsidRPr="009545B3">
        <w:rPr>
          <w:sz w:val="28"/>
          <w:szCs w:val="28"/>
        </w:rPr>
        <w:t xml:space="preserve">социально-экономического развития </w:t>
      </w:r>
      <w:r w:rsidR="009545B3" w:rsidRPr="009545B3">
        <w:rPr>
          <w:sz w:val="28"/>
          <w:szCs w:val="28"/>
        </w:rPr>
        <w:t>Новосибирской</w:t>
      </w:r>
      <w:r w:rsidRPr="009545B3">
        <w:rPr>
          <w:sz w:val="28"/>
          <w:szCs w:val="28"/>
        </w:rPr>
        <w:t xml:space="preserve"> области до 2030 года, утвержденная постановлением Правительства </w:t>
      </w:r>
      <w:r w:rsidR="009545B3" w:rsidRPr="009545B3">
        <w:rPr>
          <w:sz w:val="28"/>
          <w:szCs w:val="28"/>
        </w:rPr>
        <w:t xml:space="preserve">Новосибирской </w:t>
      </w:r>
      <w:r w:rsidRPr="009545B3">
        <w:rPr>
          <w:sz w:val="28"/>
          <w:szCs w:val="28"/>
        </w:rPr>
        <w:t xml:space="preserve">области </w:t>
      </w:r>
      <w:r w:rsidR="009545B3" w:rsidRPr="009545B3">
        <w:rPr>
          <w:sz w:val="28"/>
          <w:szCs w:val="28"/>
        </w:rPr>
        <w:t>от 19 марта 2019 г. № 105-п.</w:t>
      </w:r>
    </w:p>
    <w:p w:rsidR="00B015B8" w:rsidRDefault="00040A2F" w:rsidP="00B015B8">
      <w:pPr>
        <w:widowControl/>
        <w:ind w:firstLine="720"/>
        <w:jc w:val="both"/>
        <w:rPr>
          <w:sz w:val="28"/>
          <w:szCs w:val="28"/>
        </w:rPr>
      </w:pPr>
      <w:r w:rsidRPr="00B015B8">
        <w:rPr>
          <w:sz w:val="28"/>
          <w:szCs w:val="28"/>
        </w:rPr>
        <w:t>Целями государственной политики в сфере охраны окружающей среды</w:t>
      </w:r>
      <w:r w:rsidR="00B015B8" w:rsidRPr="00B015B8">
        <w:rPr>
          <w:sz w:val="28"/>
          <w:szCs w:val="28"/>
        </w:rPr>
        <w:t xml:space="preserve"> и обеспечения экологической безопасности являются</w:t>
      </w:r>
      <w:r w:rsidR="00B015B8">
        <w:rPr>
          <w:sz w:val="28"/>
          <w:szCs w:val="28"/>
        </w:rPr>
        <w:t>:</w:t>
      </w:r>
    </w:p>
    <w:p w:rsidR="00B015B8" w:rsidRDefault="00B015B8" w:rsidP="00B015B8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15B8">
        <w:rPr>
          <w:sz w:val="28"/>
          <w:szCs w:val="28"/>
        </w:rPr>
        <w:t>охранение биологического разнообразия, в том числе посредством сохранения не менее 87 ООПТ на плановый период до 2030 года и исследование недр местного значения</w:t>
      </w:r>
      <w:r>
        <w:rPr>
          <w:sz w:val="28"/>
          <w:szCs w:val="28"/>
        </w:rPr>
        <w:t>;</w:t>
      </w:r>
    </w:p>
    <w:p w:rsidR="00B015B8" w:rsidRDefault="00B015B8" w:rsidP="00B015B8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15B8">
        <w:rPr>
          <w:sz w:val="28"/>
          <w:szCs w:val="28"/>
        </w:rPr>
        <w:t>охранение и восстановление водных объектов для улучшения экологических условий проживания вблизи водных объектов более 0,0247 млн. человек до 2030 года</w:t>
      </w:r>
      <w:r>
        <w:rPr>
          <w:sz w:val="28"/>
          <w:szCs w:val="28"/>
        </w:rPr>
        <w:t>;</w:t>
      </w:r>
    </w:p>
    <w:p w:rsidR="00B015B8" w:rsidRDefault="00B015B8" w:rsidP="00B015B8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015B8">
        <w:rPr>
          <w:sz w:val="28"/>
          <w:szCs w:val="28"/>
        </w:rPr>
        <w:t>беспечение защищенности к концу 2030 года более 31,043 тыс. человек, проживающих на территориях, подверженных негативному воздействию вод.</w:t>
      </w:r>
    </w:p>
    <w:p w:rsidR="00B015B8" w:rsidRDefault="00B015B8" w:rsidP="00B015B8">
      <w:pPr>
        <w:widowControl/>
        <w:ind w:firstLine="720"/>
        <w:jc w:val="both"/>
        <w:rPr>
          <w:sz w:val="28"/>
          <w:szCs w:val="28"/>
        </w:rPr>
      </w:pPr>
    </w:p>
    <w:p w:rsidR="00040A2F" w:rsidRDefault="00040A2F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3. Сведения о взаимосвязи со стратегическими приоритетами, целями и</w:t>
      </w:r>
    </w:p>
    <w:p w:rsidR="00040A2F" w:rsidRDefault="00040A2F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показателями государственных программ Российской Федерации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</w:p>
    <w:p w:rsidR="00BC04CF" w:rsidRDefault="00BC04CF" w:rsidP="00BC04CF">
      <w:pPr>
        <w:pStyle w:val="docdata"/>
        <w:spacing w:before="0" w:beforeAutospacing="0" w:after="0" w:afterAutospacing="0"/>
        <w:ind w:firstLine="709"/>
        <w:jc w:val="both"/>
      </w:pPr>
      <w:r>
        <w:rPr>
          <w:rFonts w:ascii="TimesNewRoman" w:hAnsi="TimesNewRoman"/>
          <w:color w:val="000000"/>
          <w:sz w:val="28"/>
          <w:szCs w:val="28"/>
        </w:rPr>
        <w:t xml:space="preserve">Государственная программа связана со стратегическими приоритетами, целями и показателями государственной программы Российской Федерации </w:t>
      </w:r>
      <w:r>
        <w:rPr>
          <w:color w:val="000000"/>
          <w:sz w:val="28"/>
          <w:szCs w:val="28"/>
        </w:rPr>
        <w:t xml:space="preserve">государственной программы Российской Федерации «Охрана окружающей </w:t>
      </w:r>
      <w:r>
        <w:rPr>
          <w:color w:val="000000"/>
          <w:sz w:val="28"/>
          <w:szCs w:val="28"/>
        </w:rPr>
        <w:lastRenderedPageBreak/>
        <w:t>среды», утвержденной постановлением Правительства Российской Федерации от 15.04.2014 № 326.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</w:p>
    <w:p w:rsidR="00040A2F" w:rsidRDefault="00040A2F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4. Задачи (направления) государственной программы, способы их эффективного решения</w:t>
      </w:r>
    </w:p>
    <w:p w:rsidR="00040A2F" w:rsidRDefault="00040A2F">
      <w:pPr>
        <w:contextualSpacing/>
        <w:jc w:val="both"/>
        <w:rPr>
          <w:b/>
          <w:bCs/>
          <w:sz w:val="28"/>
          <w:szCs w:val="28"/>
        </w:rPr>
      </w:pPr>
    </w:p>
    <w:p w:rsidR="00B015B8" w:rsidRDefault="00B015B8" w:rsidP="00B015B8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государственного управления в области охраны окружающей среды на территории Новосибирской области являются:</w:t>
      </w:r>
    </w:p>
    <w:p w:rsidR="00B015B8" w:rsidRDefault="00B015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15B8">
        <w:rPr>
          <w:sz w:val="28"/>
          <w:szCs w:val="28"/>
        </w:rPr>
        <w:t>оздание условий для сохранения биологического разнообразия и исследования недр местного значения</w:t>
      </w:r>
      <w:r>
        <w:rPr>
          <w:sz w:val="28"/>
          <w:szCs w:val="28"/>
        </w:rPr>
        <w:t>;</w:t>
      </w:r>
    </w:p>
    <w:p w:rsidR="00B015B8" w:rsidRDefault="00B015B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15B8">
        <w:rPr>
          <w:sz w:val="28"/>
          <w:szCs w:val="28"/>
        </w:rPr>
        <w:t>оздание условий для обеспечения защиты от негативного воздействия вод, сохранения и восстановления водных объектов</w:t>
      </w:r>
      <w:r>
        <w:rPr>
          <w:sz w:val="28"/>
          <w:szCs w:val="28"/>
        </w:rPr>
        <w:t>.</w:t>
      </w:r>
    </w:p>
    <w:p w:rsidR="00BC04CF" w:rsidRDefault="00BC04CF" w:rsidP="00BC04CF">
      <w:pPr>
        <w:pStyle w:val="docdata"/>
        <w:spacing w:before="0" w:beforeAutospacing="0" w:after="0" w:afterAutospacing="0"/>
        <w:ind w:firstLine="709"/>
        <w:jc w:val="both"/>
      </w:pPr>
      <w:r>
        <w:rPr>
          <w:rFonts w:ascii="TimesNewRoman" w:hAnsi="TimesNewRoman"/>
          <w:color w:val="000000"/>
          <w:sz w:val="28"/>
          <w:szCs w:val="28"/>
        </w:rPr>
        <w:t>Решение указанных задач обеспечивается посредством реализации системы мероприятий, предусм</w:t>
      </w:r>
      <w:r>
        <w:rPr>
          <w:color w:val="000000"/>
          <w:sz w:val="28"/>
          <w:szCs w:val="28"/>
        </w:rPr>
        <w:t>отренных комплексами процессных мероприятий «сохранение природных систем, создание условий для рационального использования биологических ресурсов», «с</w:t>
      </w:r>
      <w:r>
        <w:rPr>
          <w:color w:val="000000"/>
          <w:sz w:val="28"/>
          <w:szCs w:val="28"/>
          <w:shd w:val="clear" w:color="auto" w:fill="FFFFFF"/>
        </w:rPr>
        <w:t>охранение и воспроизводство объектов животного мира</w:t>
      </w:r>
      <w:r>
        <w:rPr>
          <w:color w:val="000000"/>
          <w:sz w:val="28"/>
          <w:szCs w:val="28"/>
        </w:rPr>
        <w:t>», «г</w:t>
      </w:r>
      <w:r>
        <w:rPr>
          <w:color w:val="000000"/>
          <w:sz w:val="28"/>
          <w:szCs w:val="28"/>
          <w:shd w:val="clear" w:color="auto" w:fill="FFFFFF"/>
        </w:rPr>
        <w:t>еологическое изучение участков недр местного значения</w:t>
      </w:r>
      <w:r>
        <w:rPr>
          <w:color w:val="000000"/>
          <w:sz w:val="28"/>
          <w:szCs w:val="28"/>
        </w:rPr>
        <w:t>», региональным проектом «</w:t>
      </w:r>
      <w:r>
        <w:rPr>
          <w:color w:val="000000"/>
          <w:sz w:val="28"/>
          <w:szCs w:val="28"/>
          <w:shd w:val="clear" w:color="auto" w:fill="FFFFFF"/>
        </w:rPr>
        <w:t>Сохранение и восстановление водных объектов Новосибирской области</w:t>
      </w:r>
      <w:r>
        <w:rPr>
          <w:color w:val="000000"/>
          <w:sz w:val="28"/>
          <w:szCs w:val="28"/>
        </w:rPr>
        <w:t>» и ведомственным проектом «</w:t>
      </w:r>
      <w:r>
        <w:rPr>
          <w:color w:val="000000"/>
          <w:sz w:val="28"/>
          <w:szCs w:val="28"/>
          <w:shd w:val="clear" w:color="auto" w:fill="FFFFFF"/>
        </w:rPr>
        <w:t>Защита от негативного воздействия вод</w:t>
      </w:r>
      <w:r>
        <w:rPr>
          <w:color w:val="000000"/>
          <w:sz w:val="28"/>
          <w:szCs w:val="28"/>
        </w:rPr>
        <w:t>».</w:t>
      </w:r>
    </w:p>
    <w:p w:rsidR="00362806" w:rsidRPr="00362806" w:rsidRDefault="00362806" w:rsidP="0036280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806">
        <w:rPr>
          <w:rFonts w:ascii="TimesNewRoman" w:hAnsi="TimesNewRoman" w:cs="Times New Roman"/>
          <w:color w:val="000000"/>
          <w:sz w:val="28"/>
          <w:szCs w:val="28"/>
        </w:rPr>
        <w:t>2) раздел II «Обоснование необходимости реализации государственной программы», раздел IV «Система основных мероприятий государственной программы» признать утратившими силу;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 w:rsidRPr="00362806">
        <w:rPr>
          <w:sz w:val="28"/>
          <w:szCs w:val="28"/>
        </w:rPr>
        <w:t>3)</w:t>
      </w:r>
      <w:r w:rsidR="00362806" w:rsidRPr="00362806">
        <w:rPr>
          <w:sz w:val="28"/>
          <w:szCs w:val="28"/>
        </w:rPr>
        <w:t xml:space="preserve"> в</w:t>
      </w:r>
      <w:r w:rsidRPr="00362806">
        <w:rPr>
          <w:sz w:val="28"/>
          <w:szCs w:val="28"/>
        </w:rPr>
        <w:t xml:space="preserve"> приложени</w:t>
      </w:r>
      <w:r w:rsidR="00362806">
        <w:rPr>
          <w:sz w:val="28"/>
          <w:szCs w:val="28"/>
        </w:rPr>
        <w:t>и</w:t>
      </w:r>
      <w:r w:rsidRPr="00362806">
        <w:rPr>
          <w:sz w:val="28"/>
          <w:szCs w:val="28"/>
        </w:rPr>
        <w:t xml:space="preserve"> № 1 к государственной программе «Цели, задачи и целевые индикаторы государственной программы Новосибирской области «Охрана окружающей среды»: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позицию «15. Доля вынесенных в натуру водоохранных зон и прибрежных защитных полос в общей протяженности установленных водоохранных зон» изложить в следующей редакции:</w:t>
      </w: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1844"/>
        <w:gridCol w:w="28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84"/>
        <w:gridCol w:w="567"/>
        <w:gridCol w:w="368"/>
        <w:gridCol w:w="409"/>
      </w:tblGrid>
      <w:tr w:rsidR="00040A2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 xml:space="preserve">15. Доля вынесенных в натуру водоохранных зон </w:t>
            </w:r>
          </w:p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и прибрежных защитных полос в общей протяженности установленных водоохранных зон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%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17,12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ind w:right="-108" w:hanging="111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76,94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81,52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68,85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66,47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49,91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ind w:right="-109" w:hanging="11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28,98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ind w:right="-109" w:hanging="11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59,59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ind w:right="-109" w:hanging="11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76,10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63,70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57,69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57,69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ind w:left="-116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57,69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color w:val="000000"/>
              </w:rPr>
            </w:pPr>
          </w:p>
        </w:tc>
        <w:tc>
          <w:tcPr>
            <w:tcW w:w="40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1F3377" w:rsidRDefault="001F3377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»;</w:t>
            </w:r>
          </w:p>
        </w:tc>
      </w:tr>
    </w:tbl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позицию «16. Доля установленных (нанесенных на землеустроительные карты) границ водных объектов в протяженности береговых линий, требующих установления» изложить в следующей редакции:</w:t>
      </w: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1845"/>
        <w:gridCol w:w="341"/>
        <w:gridCol w:w="284"/>
        <w:gridCol w:w="283"/>
        <w:gridCol w:w="283"/>
        <w:gridCol w:w="283"/>
        <w:gridCol w:w="535"/>
        <w:gridCol w:w="535"/>
        <w:gridCol w:w="535"/>
        <w:gridCol w:w="535"/>
        <w:gridCol w:w="535"/>
        <w:gridCol w:w="535"/>
        <w:gridCol w:w="535"/>
        <w:gridCol w:w="646"/>
        <w:gridCol w:w="709"/>
        <w:gridCol w:w="850"/>
        <w:gridCol w:w="352"/>
      </w:tblGrid>
      <w:tr w:rsidR="00040A2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 xml:space="preserve">16. Доля установленных (нанесенных на землеустроительные карты) границ водных объектов </w:t>
            </w:r>
          </w:p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в протяженности береговых линий, требующих установления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0,86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22,99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50,47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92,57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68,00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28,27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28,27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28,27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16"/>
                <w:szCs w:val="16"/>
              </w:rPr>
              <w:t>28,27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 xml:space="preserve">Целевой индикатор введен </w:t>
            </w:r>
          </w:p>
          <w:p w:rsidR="00040A2F" w:rsidRDefault="00040A2F">
            <w:pPr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>с 2019 года, на 2018 год приведено базовое значение</w:t>
            </w:r>
          </w:p>
        </w:tc>
        <w:tc>
          <w:tcPr>
            <w:tcW w:w="3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»;</w:t>
            </w:r>
          </w:p>
        </w:tc>
      </w:tr>
    </w:tbl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позицию «23. 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подтопления» изложить в следующей редакции:</w:t>
      </w: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1846"/>
        <w:gridCol w:w="340"/>
        <w:gridCol w:w="283"/>
        <w:gridCol w:w="283"/>
        <w:gridCol w:w="425"/>
        <w:gridCol w:w="425"/>
        <w:gridCol w:w="425"/>
        <w:gridCol w:w="549"/>
        <w:gridCol w:w="549"/>
        <w:gridCol w:w="549"/>
        <w:gridCol w:w="549"/>
        <w:gridCol w:w="549"/>
        <w:gridCol w:w="549"/>
        <w:gridCol w:w="549"/>
        <w:gridCol w:w="549"/>
        <w:gridCol w:w="850"/>
        <w:gridCol w:w="352"/>
      </w:tblGrid>
      <w:tr w:rsidR="00040A2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23. 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sz w:val="22"/>
                <w:szCs w:val="22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ед.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331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331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963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4772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3422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3449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3449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6442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6442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6442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6442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 xml:space="preserve">Целевой индикатор введен </w:t>
            </w:r>
          </w:p>
          <w:p w:rsidR="00040A2F" w:rsidRDefault="00040A2F">
            <w:pPr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с 2016 года.</w:t>
            </w:r>
          </w:p>
          <w:p w:rsidR="00040A2F" w:rsidRDefault="00040A2F">
            <w:pPr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На 2015 год приведено базовое значение</w:t>
            </w:r>
          </w:p>
        </w:tc>
        <w:tc>
          <w:tcPr>
            <w:tcW w:w="3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»;</w:t>
            </w:r>
          </w:p>
        </w:tc>
      </w:tr>
    </w:tbl>
    <w:p w:rsidR="00040A2F" w:rsidRDefault="00040A2F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sz w:val="28"/>
          <w:szCs w:val="28"/>
        </w:rPr>
        <w:t>г) в позиции «</w:t>
      </w:r>
      <w:r>
        <w:rPr>
          <w:rFonts w:ascii=" Times New Roman Cyr" w:hAnsi=" Times New Roman Cyr" w:cs=" Times New Roman Cyr"/>
          <w:sz w:val="28"/>
          <w:szCs w:val="28"/>
        </w:rPr>
        <w:t>26. Количество гидротехнических сооружений в Новосибирской области, находящихся в муниципальной собственности, по которым утверждены в соответствии с действующим законодательством декларации безопасности гидротехнических сооружений</w:t>
      </w:r>
      <w:r>
        <w:rPr>
          <w:rFonts w:ascii=" Times New Roman" w:hAnsi=" Times New Roman" w:cs=" Times New Roman"/>
          <w:sz w:val="28"/>
          <w:szCs w:val="28"/>
        </w:rPr>
        <w:t xml:space="preserve">» </w:t>
      </w:r>
      <w:r>
        <w:rPr>
          <w:rFonts w:ascii=" Times New Roman Cyr" w:hAnsi=" Times New Roman Cyr" w:cs=" Times New Roman Cyr"/>
          <w:sz w:val="28"/>
          <w:szCs w:val="28"/>
        </w:rPr>
        <w:t xml:space="preserve">цифру </w:t>
      </w:r>
      <w:r>
        <w:rPr>
          <w:rFonts w:ascii=" Times New Roman" w:hAnsi=" Times New Roman" w:cs=" Times New Roman"/>
          <w:sz w:val="28"/>
          <w:szCs w:val="28"/>
        </w:rPr>
        <w:t>«8»</w:t>
      </w:r>
      <w:r>
        <w:rPr>
          <w:rFonts w:ascii=" Times New Roman Cyr" w:hAnsi=" Times New Roman Cyr" w:cs=" Times New Roman Cyr"/>
          <w:sz w:val="28"/>
          <w:szCs w:val="28"/>
        </w:rPr>
        <w:t xml:space="preserve"> заменить на цифру </w:t>
      </w:r>
      <w:r>
        <w:rPr>
          <w:rFonts w:ascii=" Times New Roman" w:hAnsi=" Times New Roman" w:cs=" Times New Roman"/>
          <w:sz w:val="28"/>
          <w:szCs w:val="28"/>
        </w:rPr>
        <w:t>«7»;</w:t>
      </w:r>
    </w:p>
    <w:p w:rsidR="00040A2F" w:rsidRDefault="00040A2F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 Cyr" w:hAnsi=" Times New Roman Cyr" w:cs=" Times New Roman Cyr"/>
          <w:sz w:val="28"/>
          <w:szCs w:val="28"/>
        </w:rPr>
        <w:t xml:space="preserve">д) в позиции </w:t>
      </w:r>
      <w:r>
        <w:rPr>
          <w:rFonts w:ascii=" Times New Roman" w:hAnsi=" Times New Roman" w:cs=" Times New Roman"/>
          <w:sz w:val="28"/>
          <w:szCs w:val="28"/>
        </w:rPr>
        <w:t>«</w:t>
      </w:r>
      <w:r>
        <w:rPr>
          <w:rFonts w:ascii=" Times New Roman Cyr" w:hAnsi=" Times New Roman Cyr" w:cs=" Times New Roman Cyr"/>
          <w:sz w:val="28"/>
          <w:szCs w:val="28"/>
        </w:rPr>
        <w:t>27. Количество гидротехнических сооружений в Новосибирской области, находящихся в муниципальной собственности, с неудовлетворительным и опасным уровнем безопасности, приведенных в безопасное техническое состояние, в ходе проведения текущего ремонта</w:t>
      </w:r>
      <w:r>
        <w:rPr>
          <w:rFonts w:ascii=" Times New Roman" w:hAnsi=" Times New Roman" w:cs=" Times New Roman"/>
          <w:sz w:val="28"/>
          <w:szCs w:val="28"/>
        </w:rPr>
        <w:t>»</w:t>
      </w:r>
      <w:r>
        <w:rPr>
          <w:rFonts w:ascii=" Times New Roman Cyr" w:hAnsi=" Times New Roman Cyr" w:cs=" Times New Roman Cyr"/>
          <w:sz w:val="28"/>
          <w:szCs w:val="28"/>
        </w:rPr>
        <w:t xml:space="preserve"> цифру </w:t>
      </w:r>
      <w:r>
        <w:rPr>
          <w:rFonts w:ascii=" Times New Roman" w:hAnsi=" Times New Roman" w:cs=" Times New Roman"/>
          <w:sz w:val="28"/>
          <w:szCs w:val="28"/>
        </w:rPr>
        <w:t>«6»</w:t>
      </w:r>
      <w:r>
        <w:rPr>
          <w:rFonts w:ascii=" Times New Roman Cyr" w:hAnsi=" Times New Roman Cyr" w:cs=" Times New Roman Cyr"/>
          <w:sz w:val="28"/>
          <w:szCs w:val="28"/>
        </w:rPr>
        <w:t xml:space="preserve"> заменить на цифру </w:t>
      </w:r>
      <w:r>
        <w:rPr>
          <w:rFonts w:ascii=" Times New Roman" w:hAnsi=" Times New Roman" w:cs=" Times New Roman"/>
          <w:sz w:val="28"/>
          <w:szCs w:val="28"/>
        </w:rPr>
        <w:t>«7»;</w:t>
      </w:r>
    </w:p>
    <w:p w:rsidR="00040A2F" w:rsidRDefault="00040A2F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 Cyr" w:hAnsi=" Times New Roman Cyr" w:cs=" Times New Roman Cyr"/>
          <w:sz w:val="28"/>
          <w:szCs w:val="28"/>
        </w:rPr>
        <w:t>е) позицию</w:t>
      </w:r>
      <w:r>
        <w:rPr>
          <w:rFonts w:ascii=" Times New Roman" w:hAnsi=" Times New Roman" w:cs=" Times New Roman"/>
          <w:sz w:val="28"/>
          <w:szCs w:val="28"/>
        </w:rPr>
        <w:t xml:space="preserve"> «</w:t>
      </w:r>
      <w:r>
        <w:rPr>
          <w:rFonts w:ascii=" Times New Roman Cyr" w:hAnsi=" Times New Roman Cyr" w:cs=" Times New Roman Cyr"/>
          <w:sz w:val="28"/>
          <w:szCs w:val="28"/>
        </w:rPr>
        <w:t>36. Количество приобретенной специализированной техники и оборудования для проведения охраны особо охраняемых природных территорий регионального значения и иных природных территорий</w:t>
      </w:r>
      <w:r>
        <w:rPr>
          <w:rFonts w:ascii=" Times New Roman" w:hAnsi=" Times New Roman" w:cs=" Times New Roman"/>
          <w:sz w:val="28"/>
          <w:szCs w:val="28"/>
        </w:rPr>
        <w:t>»</w:t>
      </w:r>
      <w:r>
        <w:rPr>
          <w:rFonts w:ascii=" Times New Roman Cyr" w:hAnsi=" Times New Roman Cyr" w:cs=" Times New Roman Cyr"/>
          <w:sz w:val="28"/>
          <w:szCs w:val="28"/>
        </w:rPr>
        <w:t xml:space="preserve"> изложить в редакции</w:t>
      </w:r>
      <w:r>
        <w:rPr>
          <w:rFonts w:ascii=" Times New Roman" w:hAnsi=" Times New Roman" w:cs=" Times New Roman"/>
          <w:sz w:val="28"/>
          <w:szCs w:val="28"/>
        </w:rPr>
        <w:t>:</w:t>
      </w: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1847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1134"/>
        <w:gridCol w:w="352"/>
      </w:tblGrid>
      <w:tr w:rsidR="00040A2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 Cyr" w:hAnsi=" Times New Roman Cyr" w:cs=" Times New Roman Cyr"/>
                <w:color w:val="000000"/>
                <w:sz w:val="16"/>
                <w:szCs w:val="16"/>
              </w:rPr>
              <w:t xml:space="preserve">36. Количество приобретенной специализированной техники и оборудования для проведения охраны особо охраняемых природных территорий регионального значения </w:t>
            </w:r>
          </w:p>
          <w:p w:rsidR="00040A2F" w:rsidRDefault="00040A2F">
            <w:pPr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 Cyr" w:hAnsi=" Times New Roman Cyr" w:cs=" Times New Roman Cyr"/>
                <w:color w:val="000000"/>
                <w:sz w:val="16"/>
                <w:szCs w:val="16"/>
              </w:rPr>
              <w:t>и иных природных территорий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ед.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  <w:sz w:val="16"/>
                <w:szCs w:val="16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2F" w:rsidRDefault="00040A2F">
            <w:pPr>
              <w:jc w:val="center"/>
              <w:rPr>
                <w:rFonts w:ascii=" Times New Roman" w:hAnsi=" Times New Roman" w:cs=" Times New Roman"/>
                <w:color w:val="000000"/>
              </w:rPr>
            </w:pPr>
            <w:r>
              <w:rPr>
                <w:rFonts w:ascii=" Times New Roman" w:hAnsi=" Times New Roman" w:cs=" 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 xml:space="preserve">Целевой индикатор введен </w:t>
            </w:r>
          </w:p>
          <w:p w:rsidR="00040A2F" w:rsidRDefault="00040A2F">
            <w:pPr>
              <w:rPr>
                <w:rFonts w:ascii=" Times New Roman" w:hAnsi=" Times New Roman" w:cs=" Times New Roman"/>
              </w:rPr>
            </w:pPr>
            <w:r>
              <w:rPr>
                <w:rFonts w:ascii=" Times New Roman Cyr" w:hAnsi=" Times New Roman Cyr" w:cs=" Times New Roman Cyr"/>
                <w:sz w:val="16"/>
                <w:szCs w:val="16"/>
              </w:rPr>
              <w:t>с 2023 года.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 Times New Roman Cyr" w:hAnsi=" Times New Roman Cyr" w:cs=" Times New Roman Cyr"/>
                <w:sz w:val="16"/>
                <w:szCs w:val="16"/>
              </w:rPr>
              <w:t>Выполнение мероприятия заканчивается в 2025 году</w:t>
            </w:r>
          </w:p>
        </w:tc>
        <w:tc>
          <w:tcPr>
            <w:tcW w:w="3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C708FA" w:rsidRDefault="00C708FA">
            <w:pPr>
              <w:rPr>
                <w:rFonts w:ascii=" Times New Roman" w:hAnsi=" Times New Roman" w:cs=" Times New Roman"/>
                <w:sz w:val="28"/>
                <w:szCs w:val="28"/>
              </w:rPr>
            </w:pPr>
          </w:p>
          <w:p w:rsidR="00040A2F" w:rsidRDefault="00040A2F">
            <w:pPr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»;</w:t>
            </w:r>
          </w:p>
        </w:tc>
      </w:tr>
    </w:tbl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 w:rsidRPr="00362806">
        <w:rPr>
          <w:sz w:val="28"/>
          <w:szCs w:val="28"/>
        </w:rPr>
        <w:t>ж) признать утратившим силу с 01.06.2024;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 w:rsidRPr="00362806">
        <w:rPr>
          <w:sz w:val="28"/>
          <w:szCs w:val="28"/>
        </w:rPr>
        <w:t>4) в разделе II Основные мероприятия, реализуемые с 2019 года приложения № 2 к государственной программе «Основные мероприятия государственной программы Новосибирской области «Охрана окружающей среды»</w:t>
      </w:r>
      <w:r w:rsidR="00362806" w:rsidRPr="00362806">
        <w:rPr>
          <w:sz w:val="28"/>
          <w:szCs w:val="28"/>
        </w:rPr>
        <w:t>:</w:t>
      </w:r>
    </w:p>
    <w:p w:rsidR="00040A2F" w:rsidRDefault="00040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позиции «1.1.2. Образование новых особо охраняемых природных территорий, организация и обеспечение обустройства и охраны памятников природы регионального значения» в графе «2023» цифры «1 600,0» заменить цифрами «1 305,0»;</w:t>
      </w:r>
    </w:p>
    <w:p w:rsidR="00CB4A7E" w:rsidRDefault="00CB4A7E" w:rsidP="00CB4A7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позицию «1.1.5. Стимулирование перевода транспортных средств на более экологичные виды топлива путем предоставления налоговых льгот по транспортному налогу» изложить в редакции: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693"/>
        <w:gridCol w:w="1139"/>
        <w:gridCol w:w="200"/>
        <w:gridCol w:w="198"/>
        <w:gridCol w:w="196"/>
        <w:gridCol w:w="196"/>
        <w:gridCol w:w="369"/>
        <w:gridCol w:w="280"/>
        <w:gridCol w:w="423"/>
        <w:gridCol w:w="423"/>
        <w:gridCol w:w="570"/>
        <w:gridCol w:w="570"/>
        <w:gridCol w:w="570"/>
        <w:gridCol w:w="572"/>
        <w:gridCol w:w="833"/>
        <w:gridCol w:w="1113"/>
        <w:gridCol w:w="304"/>
      </w:tblGrid>
      <w:tr w:rsidR="00191449" w:rsidRPr="00CB4A7E" w:rsidTr="00191449">
        <w:tc>
          <w:tcPr>
            <w:tcW w:w="138" w:type="pct"/>
            <w:vMerge w:val="restart"/>
            <w:tcBorders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4A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1.1.5. Стимулирование перевода транспортных средств на более экологичные виды топлива путем предоставления налоговых льгот по транспортному налогу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МПР НСО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Снижение негативного воздействия на состояние атмосферного воздуха</w:t>
            </w:r>
          </w:p>
        </w:tc>
        <w:tc>
          <w:tcPr>
            <w:tcW w:w="153" w:type="pct"/>
            <w:vMerge w:val="restart"/>
            <w:tcBorders>
              <w:left w:val="single" w:sz="4" w:space="0" w:color="auto"/>
            </w:tcBorders>
          </w:tcPr>
          <w:p w:rsidR="001F3377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77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77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77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77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4A7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191449" w:rsidRPr="00CB4A7E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CB4A7E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CB4A7E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CB4A7E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996,0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7E">
              <w:rPr>
                <w:rFonts w:ascii="Times New Roman" w:hAnsi="Times New Roman" w:cs="Times New Roman"/>
                <w:sz w:val="16"/>
                <w:szCs w:val="16"/>
              </w:rPr>
              <w:t>996,0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6 000,0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6 300,0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6 400,0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191449" w:rsidRDefault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6 500,0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</w:tcBorders>
          </w:tcPr>
          <w:p w:rsidR="001F3377" w:rsidRPr="00CB4A7E" w:rsidRDefault="001F337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0A2F" w:rsidRDefault="0019144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A2F">
        <w:rPr>
          <w:sz w:val="28"/>
          <w:szCs w:val="28"/>
        </w:rPr>
        <w:t>) в позиции «1.3.9. Обеспечение безопасности гидротехнических сооружения Новосибирской области» ци</w:t>
      </w:r>
      <w:r w:rsidR="002E6F1A">
        <w:rPr>
          <w:sz w:val="28"/>
          <w:szCs w:val="28"/>
        </w:rPr>
        <w:t>фры «803,2» заменить цифрами «1 </w:t>
      </w:r>
      <w:r w:rsidR="00040A2F">
        <w:rPr>
          <w:sz w:val="28"/>
          <w:szCs w:val="28"/>
        </w:rPr>
        <w:t>887,0»;</w:t>
      </w:r>
    </w:p>
    <w:p w:rsidR="00040A2F" w:rsidRDefault="0019144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40A2F">
        <w:rPr>
          <w:sz w:val="28"/>
          <w:szCs w:val="28"/>
        </w:rPr>
        <w:t xml:space="preserve">) в позиции «1.5.2. Создание условий функционирования государственных </w:t>
      </w:r>
      <w:r w:rsidR="00040A2F">
        <w:rPr>
          <w:sz w:val="28"/>
          <w:szCs w:val="28"/>
        </w:rPr>
        <w:lastRenderedPageBreak/>
        <w:t>природных заказников регионального значения Новосибирской области» цифры «65 737,2» заменить цифрами «64 869,2»;</w:t>
      </w:r>
    </w:p>
    <w:p w:rsidR="00040A2F" w:rsidRDefault="0019144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40A2F">
        <w:rPr>
          <w:sz w:val="28"/>
          <w:szCs w:val="28"/>
        </w:rPr>
        <w:t>) позици</w:t>
      </w:r>
      <w:r>
        <w:rPr>
          <w:sz w:val="28"/>
          <w:szCs w:val="28"/>
        </w:rPr>
        <w:t>ю</w:t>
      </w:r>
      <w:r w:rsidR="00040A2F">
        <w:rPr>
          <w:sz w:val="28"/>
          <w:szCs w:val="28"/>
        </w:rPr>
        <w:t xml:space="preserve"> «Итого по государственной программе» </w:t>
      </w:r>
      <w:r>
        <w:rPr>
          <w:sz w:val="28"/>
          <w:szCs w:val="28"/>
        </w:rPr>
        <w:t>изложить в редакции: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288"/>
        <w:gridCol w:w="1131"/>
        <w:gridCol w:w="284"/>
        <w:gridCol w:w="284"/>
        <w:gridCol w:w="284"/>
        <w:gridCol w:w="284"/>
        <w:gridCol w:w="657"/>
        <w:gridCol w:w="657"/>
        <w:gridCol w:w="657"/>
        <w:gridCol w:w="657"/>
        <w:gridCol w:w="657"/>
        <w:gridCol w:w="657"/>
        <w:gridCol w:w="657"/>
        <w:gridCol w:w="657"/>
        <w:gridCol w:w="284"/>
        <w:gridCol w:w="262"/>
        <w:gridCol w:w="292"/>
      </w:tblGrid>
      <w:tr w:rsidR="00191449" w:rsidRPr="00191449" w:rsidTr="00191449">
        <w:tc>
          <w:tcPr>
            <w:tcW w:w="138" w:type="pct"/>
            <w:vMerge w:val="restart"/>
            <w:tcBorders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14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184 429,6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154 084,3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28 096,4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64 136,1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148 997,7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241 511,5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243 053,1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122 258,5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lef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144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191449" w:rsidRPr="00191449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43 545,0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48 359,8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67 563,8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31 514,0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43 354,7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17 078,9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17 078,9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115 451,5</w:t>
            </w: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191449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3 039,0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6 644,3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476,0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552,4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2 516,9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2 904,4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2 864,4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5 514,5</w:t>
            </w: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191449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49" w:rsidRPr="00191449" w:rsidTr="00191449">
        <w:tc>
          <w:tcPr>
            <w:tcW w:w="138" w:type="pct"/>
            <w:vMerge/>
            <w:tcBorders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996,0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sz w:val="16"/>
                <w:szCs w:val="16"/>
              </w:rPr>
              <w:t>996,0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6 000,0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6 300,0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6 400,0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449">
              <w:rPr>
                <w:rFonts w:ascii="Times New Roman" w:hAnsi="Times New Roman" w:cs="Times New Roman"/>
                <w:sz w:val="16"/>
                <w:szCs w:val="16"/>
              </w:rPr>
              <w:t>6 500,0</w:t>
            </w: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</w:tcBorders>
          </w:tcPr>
          <w:p w:rsidR="00191449" w:rsidRPr="00191449" w:rsidRDefault="00191449" w:rsidP="0019144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0A2F" w:rsidRDefault="002E6F1A">
      <w:pPr>
        <w:ind w:firstLine="709"/>
        <w:contextualSpacing/>
        <w:jc w:val="both"/>
        <w:rPr>
          <w:sz w:val="28"/>
          <w:szCs w:val="28"/>
        </w:rPr>
      </w:pPr>
      <w:r w:rsidRPr="00362806">
        <w:rPr>
          <w:sz w:val="28"/>
          <w:szCs w:val="28"/>
        </w:rPr>
        <w:t>е</w:t>
      </w:r>
      <w:r w:rsidR="00040A2F" w:rsidRPr="00362806">
        <w:rPr>
          <w:sz w:val="28"/>
          <w:szCs w:val="28"/>
        </w:rPr>
        <w:t>) признать утратившим силу с 01.06.2024;</w:t>
      </w:r>
    </w:p>
    <w:p w:rsidR="00ED4551" w:rsidRDefault="00ED4551" w:rsidP="00ED45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приложении № 2.1. к государственной программе «Перечень </w:t>
      </w:r>
      <w:r w:rsidRPr="00ED4551">
        <w:rPr>
          <w:sz w:val="28"/>
          <w:szCs w:val="28"/>
        </w:rPr>
        <w:t>объектов, на которых планируется проведение работ в рамках</w:t>
      </w:r>
      <w:r>
        <w:rPr>
          <w:sz w:val="28"/>
          <w:szCs w:val="28"/>
        </w:rPr>
        <w:t xml:space="preserve"> </w:t>
      </w:r>
      <w:r w:rsidRPr="00ED4551">
        <w:rPr>
          <w:sz w:val="28"/>
          <w:szCs w:val="28"/>
        </w:rPr>
        <w:t>задачи "Развитие водохозяйственного комплекса Новосибирской</w:t>
      </w:r>
      <w:r>
        <w:rPr>
          <w:sz w:val="28"/>
          <w:szCs w:val="28"/>
        </w:rPr>
        <w:t xml:space="preserve"> </w:t>
      </w:r>
      <w:r w:rsidRPr="00ED4551">
        <w:rPr>
          <w:sz w:val="28"/>
          <w:szCs w:val="28"/>
        </w:rPr>
        <w:t>области" государственной программы Новосибирской</w:t>
      </w:r>
      <w:r>
        <w:rPr>
          <w:sz w:val="28"/>
          <w:szCs w:val="28"/>
        </w:rPr>
        <w:t xml:space="preserve"> </w:t>
      </w:r>
      <w:r w:rsidRPr="00ED455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«</w:t>
      </w:r>
      <w:r w:rsidRPr="00ED4551">
        <w:rPr>
          <w:sz w:val="28"/>
          <w:szCs w:val="28"/>
        </w:rPr>
        <w:t>Охрана окружающей среды</w:t>
      </w:r>
      <w:r>
        <w:rPr>
          <w:sz w:val="28"/>
          <w:szCs w:val="28"/>
        </w:rPr>
        <w:t>»</w:t>
      </w:r>
      <w:r w:rsidRPr="00ED4551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Pr="00ED4551">
        <w:rPr>
          <w:sz w:val="28"/>
          <w:szCs w:val="28"/>
        </w:rPr>
        <w:t>за счет средств федерального бюджета</w:t>
      </w:r>
      <w:r>
        <w:rPr>
          <w:sz w:val="28"/>
          <w:szCs w:val="28"/>
        </w:rPr>
        <w:t>»:</w:t>
      </w:r>
    </w:p>
    <w:p w:rsidR="00ED4551" w:rsidRDefault="00ED4551" w:rsidP="00ED455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81865">
        <w:rPr>
          <w:sz w:val="28"/>
          <w:szCs w:val="28"/>
        </w:rPr>
        <w:t> </w:t>
      </w:r>
      <w:hyperlink r:id="rId7" w:history="1">
        <w:r w:rsidRPr="00ED4551">
          <w:rPr>
            <w:sz w:val="28"/>
            <w:szCs w:val="28"/>
          </w:rPr>
          <w:t>позици</w:t>
        </w:r>
        <w:r>
          <w:rPr>
            <w:sz w:val="28"/>
            <w:szCs w:val="28"/>
          </w:rPr>
          <w:t xml:space="preserve">ю </w:t>
        </w:r>
        <w:r w:rsidRPr="00ED4551">
          <w:rPr>
            <w:sz w:val="28"/>
            <w:szCs w:val="28"/>
          </w:rPr>
          <w:t>«1</w:t>
        </w:r>
      </w:hyperlink>
      <w:r w:rsidRPr="00ED4551">
        <w:rPr>
          <w:sz w:val="28"/>
          <w:szCs w:val="28"/>
        </w:rPr>
        <w:t>.</w:t>
      </w:r>
      <w:r>
        <w:rPr>
          <w:sz w:val="28"/>
          <w:szCs w:val="28"/>
        </w:rPr>
        <w:t> Реконструкция водозащитных дамб на р. </w:t>
      </w:r>
      <w:proofErr w:type="spellStart"/>
      <w:r>
        <w:rPr>
          <w:sz w:val="28"/>
          <w:szCs w:val="28"/>
        </w:rPr>
        <w:t>Тартас</w:t>
      </w:r>
      <w:proofErr w:type="spellEnd"/>
      <w:r>
        <w:rPr>
          <w:sz w:val="28"/>
          <w:szCs w:val="28"/>
        </w:rPr>
        <w:t xml:space="preserve"> в с. Венгерово Венгеровского района Новосибирской области» изложить в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487"/>
        <w:gridCol w:w="4018"/>
        <w:gridCol w:w="810"/>
        <w:gridCol w:w="810"/>
        <w:gridCol w:w="3116"/>
        <w:gridCol w:w="339"/>
      </w:tblGrid>
      <w:tr w:rsidR="00ED4551" w:rsidRPr="00954EBD" w:rsidTr="00F81865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>
            <w:pPr>
              <w:widowControl/>
              <w:jc w:val="center"/>
            </w:pPr>
            <w:r w:rsidRPr="00954EBD">
              <w:t>«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>
            <w:pPr>
              <w:widowControl/>
              <w:jc w:val="center"/>
            </w:pPr>
            <w:r w:rsidRPr="00954EBD"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>
            <w:pPr>
              <w:widowControl/>
            </w:pPr>
            <w:r w:rsidRPr="00954EBD">
              <w:t xml:space="preserve">Реконструкция водозащитных дамб на р. </w:t>
            </w:r>
            <w:proofErr w:type="spellStart"/>
            <w:r w:rsidRPr="00954EBD">
              <w:t>Тартас</w:t>
            </w:r>
            <w:proofErr w:type="spellEnd"/>
            <w:r w:rsidRPr="00954EBD">
              <w:t xml:space="preserve"> в с. Венгерово Венгеровского района Новосибирской области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 w:rsidP="00ED4551">
            <w:pPr>
              <w:widowControl/>
              <w:jc w:val="center"/>
            </w:pPr>
            <w:r w:rsidRPr="00954EBD">
              <w:t xml:space="preserve">2027 </w:t>
            </w:r>
            <w:hyperlink r:id="rId8" w:history="1">
              <w:r w:rsidRPr="00954EBD">
                <w:rPr>
                  <w:color w:val="0000FF"/>
                </w:rPr>
                <w:t>&lt;**&gt;</w:t>
              </w:r>
            </w:hyperlink>
            <w:r w:rsidRPr="00954EBD">
              <w:t xml:space="preserve">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 w:rsidP="00ED4551">
            <w:pPr>
              <w:widowControl/>
              <w:jc w:val="center"/>
            </w:pPr>
            <w:r w:rsidRPr="00954EBD">
              <w:t xml:space="preserve">2028 </w:t>
            </w:r>
            <w:hyperlink r:id="rId9" w:history="1">
              <w:r w:rsidRPr="00954EBD">
                <w:rPr>
                  <w:color w:val="0000FF"/>
                </w:rPr>
                <w:t>&lt;**&gt;</w:t>
              </w:r>
            </w:hyperlink>
            <w:r w:rsidRPr="00954EBD">
              <w:t xml:space="preserve"> год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>
            <w:pPr>
              <w:widowControl/>
              <w:jc w:val="center"/>
            </w:pPr>
            <w:r w:rsidRPr="00954EBD">
              <w:t xml:space="preserve">ФБ (субсидии </w:t>
            </w:r>
            <w:proofErr w:type="spellStart"/>
            <w:r w:rsidRPr="00954EBD">
              <w:t>Росводресурсы</w:t>
            </w:r>
            <w:proofErr w:type="spellEnd"/>
            <w:r w:rsidRPr="00954EBD">
              <w:t>)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551" w:rsidRPr="00954EBD" w:rsidRDefault="00ED4551">
            <w:pPr>
              <w:widowControl/>
              <w:jc w:val="center"/>
            </w:pPr>
          </w:p>
          <w:p w:rsidR="00ED4551" w:rsidRPr="00954EBD" w:rsidRDefault="00ED4551">
            <w:pPr>
              <w:widowControl/>
              <w:jc w:val="center"/>
            </w:pPr>
          </w:p>
          <w:p w:rsidR="00ED4551" w:rsidRPr="00954EBD" w:rsidRDefault="00ED4551">
            <w:pPr>
              <w:widowControl/>
              <w:jc w:val="center"/>
            </w:pPr>
            <w:r w:rsidRPr="00954EBD">
              <w:t>»;</w:t>
            </w:r>
          </w:p>
        </w:tc>
      </w:tr>
    </w:tbl>
    <w:p w:rsidR="00F81865" w:rsidRDefault="00F81865" w:rsidP="00F81865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86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позиции «24. Закрепление на местности границ водоохранных зон и прибрежных защитных полос на р. Камышенка и пруда Камышинский Коченевского района Новосибирской области специальными информационными знаками», «25. Разработка проекта "Расчистка реки Каменка в черте г. Новосибирска», «26. Расчистка реки Каменка в черте г. Новосибирска» исключить;</w:t>
      </w:r>
    </w:p>
    <w:p w:rsidR="00F81865" w:rsidRDefault="00F81865" w:rsidP="00F81865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10" w:history="1">
        <w:r w:rsidRPr="00F81865">
          <w:rPr>
            <w:rFonts w:ascii="Times New Roman" w:hAnsi="Times New Roman" w:cs="Times New Roman"/>
            <w:sz w:val="28"/>
            <w:szCs w:val="28"/>
          </w:rPr>
          <w:t xml:space="preserve">позиции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F81865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F81865">
        <w:rPr>
          <w:rFonts w:ascii="Times New Roman" w:hAnsi="Times New Roman" w:cs="Times New Roman"/>
          <w:sz w:val="28"/>
          <w:szCs w:val="28"/>
        </w:rPr>
        <w:t>. Строи</w:t>
      </w:r>
      <w:r>
        <w:rPr>
          <w:rFonts w:ascii="Times New Roman" w:hAnsi="Times New Roman" w:cs="Times New Roman"/>
          <w:sz w:val="28"/>
          <w:szCs w:val="28"/>
        </w:rPr>
        <w:t>тельство берегоукрепительных сооружений Новосибирского водохранилища в районе села Красный Яр Ордынского района Новосибирской области» цифры "2024", "2025" заменить цифрами "2025", "2026" соответственно;</w:t>
      </w:r>
    </w:p>
    <w:p w:rsidR="00F81865" w:rsidRDefault="00F81865" w:rsidP="00F81865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позицию «35. Закрепление на местности границ водоохранных зон и прибрежных защитных полос р. Бердь и ее притоков (р. Зырянка,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Шемонаиха,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р. Барсучиха, р. Мостовка,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Укроп,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Кинтереп</w:t>
      </w:r>
      <w:proofErr w:type="spellEnd"/>
      <w:r>
        <w:rPr>
          <w:rFonts w:ascii="Times New Roman" w:hAnsi="Times New Roman" w:cs="Times New Roman"/>
          <w:sz w:val="28"/>
          <w:szCs w:val="28"/>
        </w:rPr>
        <w:t>, р. Бол. Ик (Ик), р. Ичек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р. Чем,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Листвяшка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(Каменка),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Чесноковка,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Шипуниха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устья р. Зырянка в Маслянинском районе до границы Новосибирского водохранилища, включая г. Искитим Искитимского района Новосибирской области»</w:t>
      </w:r>
      <w:r w:rsidR="00954EBD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487"/>
        <w:gridCol w:w="4018"/>
        <w:gridCol w:w="810"/>
        <w:gridCol w:w="810"/>
        <w:gridCol w:w="3116"/>
        <w:gridCol w:w="339"/>
      </w:tblGrid>
      <w:tr w:rsidR="00954EBD" w:rsidRPr="00954EBD" w:rsidTr="00040A2F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040A2F">
            <w:pPr>
              <w:widowControl/>
              <w:jc w:val="center"/>
            </w:pPr>
            <w:r w:rsidRPr="00954EBD">
              <w:t>«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040A2F">
            <w:pPr>
              <w:widowControl/>
              <w:jc w:val="center"/>
            </w:pPr>
            <w:r w:rsidRPr="00954EBD">
              <w:t>35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040A2F">
            <w:pPr>
              <w:widowControl/>
            </w:pPr>
            <w:r w:rsidRPr="00954EBD">
              <w:t xml:space="preserve">Закрепление на местности границ водоохранных зон и прибрежных защитных полос рек: Бердь, Карасук, </w:t>
            </w:r>
            <w:proofErr w:type="spellStart"/>
            <w:r w:rsidRPr="00954EBD">
              <w:t>Тартас</w:t>
            </w:r>
            <w:proofErr w:type="spellEnd"/>
            <w:r w:rsidRPr="00954EBD">
              <w:t xml:space="preserve">, и их притоков, р. Камышенка, озера </w:t>
            </w:r>
            <w:proofErr w:type="spellStart"/>
            <w:r w:rsidRPr="00954EBD">
              <w:t>Сартлан</w:t>
            </w:r>
            <w:proofErr w:type="spellEnd"/>
            <w:r w:rsidRPr="00954EBD">
              <w:t xml:space="preserve"> на территории Новосибирской области специальными информационными знаками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954EBD">
            <w:pPr>
              <w:widowControl/>
              <w:jc w:val="center"/>
            </w:pPr>
            <w:r w:rsidRPr="00954EBD">
              <w:t xml:space="preserve">2022 </w:t>
            </w:r>
            <w:hyperlink r:id="rId11" w:history="1">
              <w:r w:rsidRPr="00954EBD">
                <w:rPr>
                  <w:color w:val="0000FF"/>
                </w:rPr>
                <w:t>&lt;**&gt;</w:t>
              </w:r>
            </w:hyperlink>
            <w:r w:rsidRPr="00954EBD">
              <w:t xml:space="preserve">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954EBD">
            <w:pPr>
              <w:widowControl/>
              <w:jc w:val="center"/>
            </w:pPr>
            <w:r w:rsidRPr="00954EBD">
              <w:t xml:space="preserve">2022 </w:t>
            </w:r>
            <w:hyperlink r:id="rId12" w:history="1">
              <w:r w:rsidRPr="00954EBD">
                <w:rPr>
                  <w:color w:val="0000FF"/>
                </w:rPr>
                <w:t>&lt;**&gt;</w:t>
              </w:r>
            </w:hyperlink>
            <w:r w:rsidRPr="00954EBD">
              <w:t xml:space="preserve"> год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040A2F">
            <w:pPr>
              <w:widowControl/>
              <w:jc w:val="center"/>
            </w:pPr>
            <w:r w:rsidRPr="00954EBD">
              <w:t xml:space="preserve">ФБ (субсидии </w:t>
            </w:r>
            <w:proofErr w:type="spellStart"/>
            <w:r w:rsidRPr="00954EBD">
              <w:t>Росводресурсы</w:t>
            </w:r>
            <w:proofErr w:type="spellEnd"/>
            <w:r w:rsidRPr="00954EBD">
              <w:t>)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EBD" w:rsidRPr="00954EBD" w:rsidRDefault="00954EBD" w:rsidP="00040A2F">
            <w:pPr>
              <w:widowControl/>
              <w:jc w:val="center"/>
            </w:pPr>
          </w:p>
          <w:p w:rsidR="00954EBD" w:rsidRDefault="00954EBD" w:rsidP="00040A2F">
            <w:pPr>
              <w:widowControl/>
              <w:jc w:val="center"/>
            </w:pPr>
          </w:p>
          <w:p w:rsidR="00954EBD" w:rsidRDefault="00954EBD" w:rsidP="00040A2F">
            <w:pPr>
              <w:widowControl/>
              <w:jc w:val="center"/>
            </w:pPr>
          </w:p>
          <w:p w:rsidR="00954EBD" w:rsidRDefault="00954EBD" w:rsidP="00040A2F">
            <w:pPr>
              <w:widowControl/>
              <w:jc w:val="center"/>
            </w:pPr>
          </w:p>
          <w:p w:rsidR="00954EBD" w:rsidRPr="00954EBD" w:rsidRDefault="00954EBD" w:rsidP="00040A2F">
            <w:pPr>
              <w:widowControl/>
              <w:jc w:val="center"/>
            </w:pPr>
          </w:p>
          <w:p w:rsidR="00954EBD" w:rsidRPr="00954EBD" w:rsidRDefault="00954EBD" w:rsidP="00040A2F">
            <w:pPr>
              <w:widowControl/>
              <w:jc w:val="center"/>
            </w:pPr>
            <w:r w:rsidRPr="00954EBD">
              <w:t>»;</w:t>
            </w:r>
          </w:p>
        </w:tc>
      </w:tr>
    </w:tbl>
    <w:p w:rsidR="00954EBD" w:rsidRPr="00040A2F" w:rsidRDefault="00954EBD" w:rsidP="00040A2F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позиции «36. Восстановление оз. Банное в г. Карасуке в Карасукском районе Новосибирской области», «37. Расчистка протоки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оз. Большие Чаны и оз. Малые Чаны», «41. Определение местоположения береговой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линии (границы водного объекта), границ водоохранных зон и границ прибрежных защитных полос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Купинского района Новосибирской области», «42.</w:t>
      </w:r>
      <w:r w:rsidRPr="00954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границ водоохранных зон и прибрежных защитных полос р. Обь на территории г. Новосибирска, Новосибирского, Колыванского районов Новосибирской области (2 этап)» </w:t>
      </w:r>
      <w:r w:rsidRPr="00040A2F">
        <w:rPr>
          <w:rFonts w:ascii="Times New Roman" w:hAnsi="Times New Roman" w:cs="Times New Roman"/>
          <w:sz w:val="28"/>
          <w:szCs w:val="28"/>
        </w:rPr>
        <w:t>исключить;</w:t>
      </w:r>
    </w:p>
    <w:p w:rsidR="00040A2F" w:rsidRPr="00040A2F" w:rsidRDefault="00040A2F" w:rsidP="00040A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0A2F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0A2F">
        <w:rPr>
          <w:rFonts w:ascii="Times New Roman" w:hAnsi="Times New Roman" w:cs="Times New Roman"/>
          <w:sz w:val="28"/>
          <w:szCs w:val="28"/>
        </w:rPr>
        <w:t xml:space="preserve"> «44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0A2F">
        <w:rPr>
          <w:rFonts w:ascii="Times New Roman" w:hAnsi="Times New Roman" w:cs="Times New Roman"/>
          <w:sz w:val="28"/>
          <w:szCs w:val="28"/>
        </w:rPr>
        <w:t xml:space="preserve"> Разработка проекта по объекту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A2F">
        <w:rPr>
          <w:rFonts w:ascii="Times New Roman" w:hAnsi="Times New Roman" w:cs="Times New Roman"/>
          <w:sz w:val="28"/>
          <w:szCs w:val="28"/>
        </w:rPr>
        <w:t>Расчистка и спрямление русла р. Карасук в районе с. Красная Сибирь, с. Кочки, с. Решеты, с. Черновка Кочковско</w:t>
      </w:r>
      <w:r>
        <w:rPr>
          <w:rFonts w:ascii="Times New Roman" w:hAnsi="Times New Roman" w:cs="Times New Roman"/>
          <w:sz w:val="28"/>
          <w:szCs w:val="28"/>
        </w:rPr>
        <w:t>го района Новосибирской области» слово «проекта» заменить словами «проектной документации»;</w:t>
      </w:r>
    </w:p>
    <w:p w:rsidR="00040A2F" w:rsidRDefault="00040A2F" w:rsidP="00040A2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hyperlink r:id="rId13" w:history="1">
        <w:r w:rsidRPr="00ED4551">
          <w:rPr>
            <w:sz w:val="28"/>
            <w:szCs w:val="28"/>
          </w:rPr>
          <w:t>позици</w:t>
        </w:r>
        <w:r>
          <w:rPr>
            <w:sz w:val="28"/>
            <w:szCs w:val="28"/>
          </w:rPr>
          <w:t xml:space="preserve">ю </w:t>
        </w:r>
        <w:r w:rsidRPr="00ED4551">
          <w:rPr>
            <w:sz w:val="28"/>
            <w:szCs w:val="28"/>
          </w:rPr>
          <w:t>«</w:t>
        </w:r>
      </w:hyperlink>
      <w:r>
        <w:rPr>
          <w:sz w:val="28"/>
          <w:szCs w:val="28"/>
        </w:rPr>
        <w:t>45. Расчистка и спрямление русла р. Карасук в районе с. Красная Сибирь, с. Кочки, с. Решеты, с. Черновка Кочковского района Новосибирской области» изложить в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487"/>
        <w:gridCol w:w="4018"/>
        <w:gridCol w:w="810"/>
        <w:gridCol w:w="810"/>
        <w:gridCol w:w="3116"/>
        <w:gridCol w:w="339"/>
      </w:tblGrid>
      <w:tr w:rsidR="00040A2F" w:rsidRPr="00954EBD" w:rsidTr="00040A2F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954EBD" w:rsidRDefault="00040A2F" w:rsidP="00040A2F">
            <w:pPr>
              <w:widowControl/>
              <w:jc w:val="center"/>
            </w:pPr>
            <w:r>
              <w:rPr>
                <w:sz w:val="28"/>
                <w:szCs w:val="28"/>
              </w:rPr>
              <w:t> </w:t>
            </w:r>
            <w:r w:rsidRPr="00954EBD">
              <w:t>«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040A2F" w:rsidRDefault="00040A2F" w:rsidP="00040A2F">
            <w:pPr>
              <w:widowControl/>
              <w:jc w:val="center"/>
            </w:pPr>
            <w:r w:rsidRPr="00040A2F">
              <w:t>45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040A2F" w:rsidRDefault="00040A2F" w:rsidP="00040A2F">
            <w:pPr>
              <w:widowControl/>
            </w:pPr>
            <w:r w:rsidRPr="00040A2F">
              <w:t>Расчистка и спрямление русла р. Карасук в районе с. Красная Сибирь, с. Кочки, с. Решеты, с. Черновка Кочковского района Новосибирской области</w:t>
            </w:r>
            <w: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040A2F" w:rsidRDefault="00040A2F" w:rsidP="00362806">
            <w:pPr>
              <w:widowControl/>
              <w:jc w:val="center"/>
            </w:pPr>
            <w:r w:rsidRPr="00040A2F">
              <w:t>202</w:t>
            </w:r>
            <w:r>
              <w:t>3</w:t>
            </w:r>
            <w:r w:rsidRPr="00040A2F"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040A2F" w:rsidRDefault="00040A2F" w:rsidP="00362806">
            <w:pPr>
              <w:widowControl/>
              <w:jc w:val="center"/>
            </w:pPr>
            <w:r w:rsidRPr="00040A2F">
              <w:t>20</w:t>
            </w:r>
            <w:r>
              <w:t>33</w:t>
            </w:r>
            <w:r w:rsidR="00362806">
              <w:t>*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040A2F" w:rsidRDefault="00040A2F" w:rsidP="00040A2F">
            <w:pPr>
              <w:widowControl/>
              <w:jc w:val="center"/>
            </w:pPr>
            <w:r w:rsidRPr="00040A2F">
              <w:t>ФБ (субвенции</w:t>
            </w:r>
            <w:r>
              <w:t>)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A2F" w:rsidRPr="00954EBD" w:rsidRDefault="00040A2F" w:rsidP="00040A2F">
            <w:pPr>
              <w:widowControl/>
              <w:jc w:val="center"/>
            </w:pPr>
          </w:p>
          <w:p w:rsidR="00040A2F" w:rsidRDefault="00040A2F" w:rsidP="00040A2F">
            <w:pPr>
              <w:widowControl/>
              <w:jc w:val="center"/>
            </w:pPr>
          </w:p>
          <w:p w:rsidR="00040A2F" w:rsidRPr="00954EBD" w:rsidRDefault="00040A2F" w:rsidP="00040A2F">
            <w:pPr>
              <w:widowControl/>
              <w:jc w:val="center"/>
            </w:pPr>
          </w:p>
          <w:p w:rsidR="00040A2F" w:rsidRPr="00954EBD" w:rsidRDefault="00040A2F" w:rsidP="00040A2F">
            <w:pPr>
              <w:widowControl/>
              <w:jc w:val="center"/>
            </w:pPr>
            <w:r w:rsidRPr="00954EBD">
              <w:t>»;</w:t>
            </w:r>
          </w:p>
        </w:tc>
      </w:tr>
    </w:tbl>
    <w:p w:rsidR="00954EBD" w:rsidRDefault="00040A2F" w:rsidP="00954EB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дополнить следующими позициями: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487"/>
        <w:gridCol w:w="4018"/>
        <w:gridCol w:w="810"/>
        <w:gridCol w:w="810"/>
        <w:gridCol w:w="3116"/>
        <w:gridCol w:w="339"/>
      </w:tblGrid>
      <w:tr w:rsidR="003765D9" w:rsidRPr="00040A2F" w:rsidTr="003765D9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  <w:r w:rsidRPr="00040A2F">
              <w:t>«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autoSpaceDE/>
              <w:autoSpaceDN/>
              <w:adjustRightInd/>
              <w:jc w:val="center"/>
              <w:rPr>
                <w:rFonts w:ascii="Arial" w:hAnsi="Arial" w:cs="Times New Roman"/>
                <w:color w:val="000000"/>
              </w:rPr>
            </w:pPr>
            <w:r w:rsidRPr="00040A2F">
              <w:rPr>
                <w:color w:val="000000"/>
              </w:rPr>
              <w:t>48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Определение местоположения береговых линий (границ водного объекта), границ водоохранных зон и границ прибрежных защитных полос р. Ирмень и ее притоков (включая водохранилища и пруды), расположенных на территории Новосибирской области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ФБ (субвенции)</w:t>
            </w:r>
          </w:p>
        </w:tc>
        <w:tc>
          <w:tcPr>
            <w:tcW w:w="171" w:type="pct"/>
            <w:vMerge w:val="restar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Default="003765D9" w:rsidP="003765D9">
            <w:pPr>
              <w:widowControl/>
            </w:pPr>
          </w:p>
          <w:p w:rsidR="003765D9" w:rsidRPr="00040A2F" w:rsidRDefault="003765D9" w:rsidP="003765D9">
            <w:pPr>
              <w:widowControl/>
            </w:pPr>
          </w:p>
          <w:p w:rsidR="003765D9" w:rsidRPr="00040A2F" w:rsidRDefault="003765D9" w:rsidP="003765D9">
            <w:pPr>
              <w:widowControl/>
              <w:jc w:val="center"/>
            </w:pPr>
            <w:r w:rsidRPr="00040A2F">
              <w:t>»;</w:t>
            </w:r>
          </w:p>
        </w:tc>
      </w:tr>
      <w:tr w:rsidR="003765D9" w:rsidRPr="00040A2F" w:rsidTr="003765D9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Определение местоположения береговых линий (границ водного объекта), границ водоохранных зон и границ прибрежных защитных полос неизученных водных объектов, расположенных в пойменной части реки Оби на территории Первомайского и Советского районов г. Новосибирска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ФБ (субвенции)</w:t>
            </w: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</w:tr>
      <w:tr w:rsidR="003765D9" w:rsidRPr="00040A2F" w:rsidTr="003765D9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 xml:space="preserve">Определение местоположения береговых линий (границ водного объекта), границ водоохранных зон и границ прибрежных защитных полос р. Тара и ее притоков (р. </w:t>
            </w:r>
            <w:proofErr w:type="spellStart"/>
            <w:r w:rsidRPr="00040A2F">
              <w:rPr>
                <w:color w:val="000000"/>
              </w:rPr>
              <w:t>Скирлинка</w:t>
            </w:r>
            <w:proofErr w:type="spellEnd"/>
            <w:r w:rsidRPr="00040A2F">
              <w:rPr>
                <w:color w:val="000000"/>
              </w:rPr>
              <w:t xml:space="preserve">, р. </w:t>
            </w:r>
            <w:proofErr w:type="spellStart"/>
            <w:r w:rsidRPr="00040A2F">
              <w:rPr>
                <w:color w:val="000000"/>
              </w:rPr>
              <w:t>Оржавец</w:t>
            </w:r>
            <w:proofErr w:type="spellEnd"/>
            <w:r w:rsidRPr="00040A2F">
              <w:rPr>
                <w:color w:val="000000"/>
              </w:rPr>
              <w:t xml:space="preserve">, р. б/н (между </w:t>
            </w:r>
            <w:proofErr w:type="spellStart"/>
            <w:r w:rsidRPr="00040A2F">
              <w:rPr>
                <w:color w:val="000000"/>
              </w:rPr>
              <w:t>н.п</w:t>
            </w:r>
            <w:proofErr w:type="spellEnd"/>
            <w:r w:rsidRPr="00040A2F">
              <w:rPr>
                <w:color w:val="000000"/>
              </w:rPr>
              <w:t xml:space="preserve">. </w:t>
            </w:r>
            <w:proofErr w:type="spellStart"/>
            <w:r w:rsidRPr="00040A2F">
              <w:rPr>
                <w:color w:val="000000"/>
              </w:rPr>
              <w:t>Сергееевка</w:t>
            </w:r>
            <w:proofErr w:type="spellEnd"/>
            <w:r w:rsidRPr="00040A2F">
              <w:rPr>
                <w:color w:val="000000"/>
              </w:rPr>
              <w:t xml:space="preserve"> и </w:t>
            </w:r>
            <w:proofErr w:type="spellStart"/>
            <w:r w:rsidRPr="00040A2F">
              <w:rPr>
                <w:color w:val="000000"/>
              </w:rPr>
              <w:t>н.п</w:t>
            </w:r>
            <w:proofErr w:type="spellEnd"/>
            <w:r w:rsidRPr="00040A2F">
              <w:rPr>
                <w:color w:val="000000"/>
              </w:rPr>
              <w:t xml:space="preserve">. Альменево), р. Калинка, р. Чека, р. Бол. Титовка, р. </w:t>
            </w:r>
            <w:proofErr w:type="spellStart"/>
            <w:r w:rsidRPr="00040A2F">
              <w:rPr>
                <w:color w:val="000000"/>
              </w:rPr>
              <w:t>Ядкан</w:t>
            </w:r>
            <w:proofErr w:type="spellEnd"/>
            <w:r w:rsidRPr="00040A2F">
              <w:rPr>
                <w:color w:val="000000"/>
              </w:rPr>
              <w:t xml:space="preserve">, р. Гавриловка, р. Осиновка, р. Большеречье, р. Майзас, р. Березовка, р. </w:t>
            </w:r>
            <w:proofErr w:type="spellStart"/>
            <w:r w:rsidRPr="00040A2F">
              <w:rPr>
                <w:color w:val="000000"/>
              </w:rPr>
              <w:t>Курунцас</w:t>
            </w:r>
            <w:proofErr w:type="spellEnd"/>
            <w:r w:rsidRPr="00040A2F">
              <w:rPr>
                <w:color w:val="000000"/>
              </w:rPr>
              <w:t xml:space="preserve">, р. Куляба, р. </w:t>
            </w:r>
            <w:proofErr w:type="spellStart"/>
            <w:r w:rsidRPr="00040A2F">
              <w:rPr>
                <w:color w:val="000000"/>
              </w:rPr>
              <w:t>Чернаковка</w:t>
            </w:r>
            <w:proofErr w:type="spellEnd"/>
            <w:r w:rsidRPr="00040A2F">
              <w:rPr>
                <w:color w:val="000000"/>
              </w:rPr>
              <w:t xml:space="preserve">, р. </w:t>
            </w:r>
            <w:proofErr w:type="spellStart"/>
            <w:r w:rsidRPr="00040A2F">
              <w:rPr>
                <w:color w:val="000000"/>
              </w:rPr>
              <w:t>Межовка</w:t>
            </w:r>
            <w:proofErr w:type="spellEnd"/>
            <w:r w:rsidRPr="00040A2F">
              <w:rPr>
                <w:color w:val="000000"/>
              </w:rPr>
              <w:t xml:space="preserve">, р. Ича, р. Мал. Ича, р. Бол. Ича, р. </w:t>
            </w:r>
            <w:proofErr w:type="spellStart"/>
            <w:r w:rsidRPr="00040A2F">
              <w:rPr>
                <w:color w:val="000000"/>
              </w:rPr>
              <w:t>Бергулек</w:t>
            </w:r>
            <w:proofErr w:type="spellEnd"/>
            <w:r w:rsidRPr="00040A2F">
              <w:rPr>
                <w:color w:val="000000"/>
              </w:rPr>
              <w:t>) на территории Новосибирской области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ФБ (субвенции)</w:t>
            </w: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</w:tr>
      <w:tr w:rsidR="003765D9" w:rsidRPr="00040A2F" w:rsidTr="003765D9">
        <w:tc>
          <w:tcPr>
            <w:tcW w:w="172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«Строительство берегоукрепительных сооружений правого берега Новосибирского водохранилища от водной эрозии в районе г. Бердска»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62806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2027*</w:t>
            </w:r>
            <w:r w:rsidR="00362806">
              <w:rPr>
                <w:color w:val="000000"/>
              </w:rPr>
              <w:t>*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>2028**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jc w:val="center"/>
              <w:rPr>
                <w:rFonts w:ascii="Arial" w:hAnsi="Arial"/>
                <w:color w:val="000000"/>
              </w:rPr>
            </w:pPr>
            <w:r w:rsidRPr="00040A2F">
              <w:rPr>
                <w:color w:val="000000"/>
              </w:rPr>
              <w:t xml:space="preserve">ФБ (субсидии </w:t>
            </w:r>
            <w:proofErr w:type="spellStart"/>
            <w:r w:rsidRPr="00040A2F">
              <w:rPr>
                <w:color w:val="000000"/>
              </w:rPr>
              <w:t>Росводресурсы</w:t>
            </w:r>
            <w:proofErr w:type="spellEnd"/>
            <w:r w:rsidRPr="00040A2F">
              <w:rPr>
                <w:color w:val="000000"/>
              </w:rPr>
              <w:t>)</w:t>
            </w: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5D9" w:rsidRPr="00040A2F" w:rsidRDefault="003765D9" w:rsidP="003765D9">
            <w:pPr>
              <w:widowControl/>
              <w:jc w:val="center"/>
            </w:pPr>
          </w:p>
        </w:tc>
      </w:tr>
    </w:tbl>
    <w:p w:rsidR="00040A2F" w:rsidRPr="009545B3" w:rsidRDefault="009545B3">
      <w:pPr>
        <w:ind w:firstLine="709"/>
        <w:contextualSpacing/>
        <w:jc w:val="both"/>
        <w:rPr>
          <w:sz w:val="28"/>
          <w:szCs w:val="28"/>
        </w:rPr>
      </w:pPr>
      <w:r w:rsidRPr="009545B3">
        <w:rPr>
          <w:sz w:val="28"/>
          <w:szCs w:val="28"/>
        </w:rPr>
        <w:t>6</w:t>
      </w:r>
      <w:r w:rsidR="00040A2F" w:rsidRPr="009545B3">
        <w:rPr>
          <w:sz w:val="28"/>
          <w:szCs w:val="28"/>
        </w:rPr>
        <w:t>) приложение № 3 к государственной программе «Сводные финансовые затраты государственной программы Новосибирской области «</w:t>
      </w:r>
      <w:r w:rsidR="00ED4551" w:rsidRPr="009545B3">
        <w:rPr>
          <w:sz w:val="28"/>
          <w:szCs w:val="28"/>
        </w:rPr>
        <w:t>Охрана окружающей среды</w:t>
      </w:r>
      <w:r w:rsidR="00040A2F" w:rsidRPr="009545B3">
        <w:rPr>
          <w:sz w:val="28"/>
          <w:szCs w:val="28"/>
        </w:rPr>
        <w:t>:</w:t>
      </w:r>
    </w:p>
    <w:p w:rsidR="00040A2F" w:rsidRPr="009545B3" w:rsidRDefault="00040A2F">
      <w:pPr>
        <w:ind w:firstLine="709"/>
        <w:contextualSpacing/>
        <w:jc w:val="both"/>
        <w:rPr>
          <w:sz w:val="28"/>
          <w:szCs w:val="28"/>
        </w:rPr>
      </w:pPr>
      <w:r w:rsidRPr="009545B3">
        <w:rPr>
          <w:sz w:val="28"/>
          <w:szCs w:val="28"/>
        </w:rPr>
        <w:t xml:space="preserve">а) изложить в редакции согласно </w:t>
      </w:r>
      <w:r w:rsidR="00ED4551" w:rsidRPr="009545B3">
        <w:rPr>
          <w:sz w:val="28"/>
          <w:szCs w:val="28"/>
        </w:rPr>
        <w:t>приложению</w:t>
      </w:r>
      <w:r w:rsidRPr="009545B3">
        <w:rPr>
          <w:sz w:val="28"/>
          <w:szCs w:val="28"/>
        </w:rPr>
        <w:t xml:space="preserve"> к настоящему постановлению;</w:t>
      </w:r>
    </w:p>
    <w:p w:rsidR="00040A2F" w:rsidRPr="009545B3" w:rsidRDefault="00040A2F">
      <w:pPr>
        <w:ind w:firstLine="709"/>
        <w:contextualSpacing/>
        <w:jc w:val="both"/>
        <w:rPr>
          <w:sz w:val="28"/>
          <w:szCs w:val="28"/>
        </w:rPr>
      </w:pPr>
      <w:r w:rsidRPr="009545B3">
        <w:rPr>
          <w:sz w:val="28"/>
          <w:szCs w:val="28"/>
        </w:rPr>
        <w:t>б) признать утратившим силу с 01.06.2024.</w:t>
      </w:r>
    </w:p>
    <w:p w:rsidR="00040A2F" w:rsidRDefault="00040A2F">
      <w:pPr>
        <w:contextualSpacing/>
        <w:jc w:val="both"/>
        <w:rPr>
          <w:sz w:val="28"/>
          <w:szCs w:val="28"/>
        </w:rPr>
      </w:pPr>
    </w:p>
    <w:p w:rsidR="00A35D99" w:rsidRDefault="00A35D99">
      <w:pPr>
        <w:contextualSpacing/>
        <w:jc w:val="both"/>
        <w:rPr>
          <w:sz w:val="28"/>
          <w:szCs w:val="28"/>
        </w:rPr>
      </w:pPr>
    </w:p>
    <w:p w:rsidR="00040A2F" w:rsidRDefault="00040A2F">
      <w:pPr>
        <w:contextualSpacing/>
        <w:jc w:val="both"/>
        <w:rPr>
          <w:sz w:val="28"/>
          <w:szCs w:val="28"/>
        </w:rPr>
      </w:pPr>
    </w:p>
    <w:p w:rsidR="00040A2F" w:rsidRDefault="00040A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</w:p>
    <w:p w:rsidR="00040A2F" w:rsidRDefault="00040A2F">
      <w:pPr>
        <w:contextualSpacing/>
        <w:jc w:val="both"/>
      </w:pPr>
    </w:p>
    <w:p w:rsidR="00040A2F" w:rsidRDefault="00040A2F">
      <w:pPr>
        <w:contextualSpacing/>
        <w:jc w:val="both"/>
      </w:pPr>
    </w:p>
    <w:p w:rsidR="00040A2F" w:rsidRDefault="00040A2F">
      <w:pPr>
        <w:contextualSpacing/>
        <w:jc w:val="both"/>
      </w:pPr>
    </w:p>
    <w:p w:rsidR="00040A2F" w:rsidRDefault="00040A2F">
      <w:pPr>
        <w:contextualSpacing/>
        <w:jc w:val="both"/>
      </w:pPr>
    </w:p>
    <w:p w:rsidR="00040A2F" w:rsidRDefault="00040A2F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A35D99" w:rsidRDefault="00A35D99">
      <w:pPr>
        <w:contextualSpacing/>
        <w:jc w:val="both"/>
      </w:pPr>
    </w:p>
    <w:p w:rsidR="009545B3" w:rsidRDefault="009545B3">
      <w:pPr>
        <w:contextualSpacing/>
        <w:jc w:val="both"/>
      </w:pPr>
    </w:p>
    <w:p w:rsidR="009545B3" w:rsidRDefault="009545B3">
      <w:pPr>
        <w:contextualSpacing/>
        <w:jc w:val="both"/>
      </w:pPr>
    </w:p>
    <w:p w:rsidR="00040A2F" w:rsidRDefault="009545B3">
      <w:pPr>
        <w:contextualSpacing/>
        <w:jc w:val="both"/>
      </w:pPr>
      <w:r>
        <w:t>Е.А. Шестернин</w:t>
      </w:r>
    </w:p>
    <w:p w:rsidR="00040A2F" w:rsidRDefault="009545B3">
      <w:pPr>
        <w:contextualSpacing/>
        <w:jc w:val="both"/>
      </w:pPr>
      <w:r>
        <w:t>2396 51 70</w:t>
      </w:r>
    </w:p>
    <w:p w:rsidR="00040A2F" w:rsidRDefault="00040A2F">
      <w:pPr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СОГЛАСОВАНО:</w:t>
      </w:r>
    </w:p>
    <w:p w:rsidR="00040A2F" w:rsidRDefault="00040A2F">
      <w:pPr>
        <w:rPr>
          <w:color w:val="000000"/>
          <w:sz w:val="28"/>
          <w:szCs w:val="28"/>
        </w:rPr>
      </w:pP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В.М. </w:t>
      </w:r>
      <w:proofErr w:type="spellStart"/>
      <w:r>
        <w:rPr>
          <w:sz w:val="28"/>
          <w:szCs w:val="28"/>
        </w:rPr>
        <w:t>Знатков</w:t>
      </w:r>
      <w:proofErr w:type="spellEnd"/>
    </w:p>
    <w:p w:rsidR="00040A2F" w:rsidRDefault="00040A2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___________20___ г.</w:t>
      </w:r>
    </w:p>
    <w:p w:rsidR="00040A2F" w:rsidRDefault="00040A2F">
      <w:pPr>
        <w:rPr>
          <w:sz w:val="28"/>
          <w:szCs w:val="28"/>
        </w:rPr>
      </w:pPr>
    </w:p>
    <w:p w:rsidR="00D44384" w:rsidRDefault="00D44384" w:rsidP="00D44384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D44384" w:rsidRDefault="00D44384" w:rsidP="00D44384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– </w:t>
      </w:r>
    </w:p>
    <w:p w:rsidR="00D44384" w:rsidRDefault="00D44384" w:rsidP="00D44384">
      <w:pPr>
        <w:rPr>
          <w:sz w:val="28"/>
          <w:szCs w:val="28"/>
        </w:rPr>
      </w:pPr>
      <w:r>
        <w:rPr>
          <w:sz w:val="28"/>
          <w:szCs w:val="28"/>
        </w:rPr>
        <w:t>министр сельского хозяйства</w:t>
      </w:r>
    </w:p>
    <w:p w:rsidR="00D44384" w:rsidRDefault="00D44384" w:rsidP="00D4438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Е.М. Лещенко</w:t>
      </w:r>
    </w:p>
    <w:p w:rsidR="00D44384" w:rsidRDefault="00D44384" w:rsidP="00D4438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___________20___ г.</w:t>
      </w:r>
    </w:p>
    <w:p w:rsidR="00D44384" w:rsidRDefault="00D44384">
      <w:pPr>
        <w:rPr>
          <w:sz w:val="28"/>
          <w:szCs w:val="28"/>
        </w:rPr>
      </w:pPr>
    </w:p>
    <w:p w:rsidR="00D44384" w:rsidRDefault="00D44384">
      <w:pPr>
        <w:rPr>
          <w:sz w:val="28"/>
          <w:szCs w:val="28"/>
        </w:rPr>
      </w:pP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– 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министр финансов и налоговой политики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В.Ю. Голубенко</w:t>
      </w:r>
    </w:p>
    <w:p w:rsidR="00040A2F" w:rsidRDefault="00040A2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___________20___ г.</w:t>
      </w:r>
    </w:p>
    <w:p w:rsidR="00040A2F" w:rsidRDefault="00040A2F">
      <w:pPr>
        <w:rPr>
          <w:sz w:val="28"/>
          <w:szCs w:val="28"/>
        </w:rPr>
      </w:pPr>
    </w:p>
    <w:p w:rsidR="00040A2F" w:rsidRDefault="00040A2F">
      <w:pPr>
        <w:rPr>
          <w:sz w:val="28"/>
          <w:szCs w:val="28"/>
        </w:rPr>
      </w:pPr>
    </w:p>
    <w:p w:rsidR="00040A2F" w:rsidRDefault="00040A2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экономического развития</w:t>
      </w:r>
    </w:p>
    <w:p w:rsidR="00040A2F" w:rsidRDefault="00040A2F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Л.Н. Решетников</w:t>
      </w:r>
    </w:p>
    <w:p w:rsidR="00040A2F" w:rsidRDefault="00040A2F">
      <w:pPr>
        <w:jc w:val="both"/>
        <w:rPr>
          <w:sz w:val="6"/>
          <w:szCs w:val="6"/>
        </w:rPr>
      </w:pPr>
    </w:p>
    <w:p w:rsidR="00040A2F" w:rsidRDefault="00040A2F">
      <w:pPr>
        <w:pStyle w:val="affb"/>
        <w:jc w:val="right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«____» ___________20___ г.</w:t>
      </w:r>
    </w:p>
    <w:p w:rsidR="00040A2F" w:rsidRDefault="00040A2F">
      <w:pPr>
        <w:rPr>
          <w:color w:val="000000"/>
          <w:sz w:val="28"/>
          <w:szCs w:val="28"/>
        </w:rPr>
      </w:pPr>
    </w:p>
    <w:p w:rsidR="00040A2F" w:rsidRDefault="00040A2F">
      <w:pPr>
        <w:rPr>
          <w:color w:val="000000"/>
          <w:sz w:val="28"/>
          <w:szCs w:val="28"/>
        </w:rPr>
      </w:pP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040A2F" w:rsidRDefault="00040A2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Т.Н. Деркач</w:t>
      </w:r>
    </w:p>
    <w:p w:rsidR="00040A2F" w:rsidRDefault="00040A2F">
      <w:pPr>
        <w:rPr>
          <w:sz w:val="6"/>
          <w:szCs w:val="6"/>
        </w:rPr>
      </w:pPr>
    </w:p>
    <w:p w:rsidR="00040A2F" w:rsidRDefault="00040A2F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 20___ г.</w:t>
      </w:r>
    </w:p>
    <w:p w:rsidR="009545B3" w:rsidRDefault="009545B3">
      <w:pPr>
        <w:jc w:val="right"/>
        <w:rPr>
          <w:sz w:val="28"/>
          <w:szCs w:val="28"/>
        </w:rPr>
      </w:pPr>
    </w:p>
    <w:p w:rsidR="009545B3" w:rsidRDefault="009545B3">
      <w:pPr>
        <w:jc w:val="right"/>
        <w:rPr>
          <w:sz w:val="28"/>
          <w:szCs w:val="28"/>
        </w:rPr>
      </w:pPr>
    </w:p>
    <w:p w:rsidR="009545B3" w:rsidRDefault="009545B3" w:rsidP="009545B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природных ресурсов </w:t>
      </w:r>
    </w:p>
    <w:p w:rsidR="009545B3" w:rsidRDefault="009545B3" w:rsidP="009545B3">
      <w:pPr>
        <w:rPr>
          <w:sz w:val="28"/>
          <w:szCs w:val="28"/>
        </w:rPr>
      </w:pPr>
      <w:r>
        <w:rPr>
          <w:sz w:val="28"/>
          <w:szCs w:val="28"/>
        </w:rPr>
        <w:t>и экологии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Е.А. Шестернин</w:t>
      </w:r>
    </w:p>
    <w:p w:rsidR="009545B3" w:rsidRDefault="009545B3" w:rsidP="009545B3">
      <w:pPr>
        <w:rPr>
          <w:sz w:val="6"/>
          <w:szCs w:val="6"/>
        </w:rPr>
      </w:pPr>
    </w:p>
    <w:p w:rsidR="009545B3" w:rsidRDefault="009545B3" w:rsidP="009545B3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 20___ г.</w:t>
      </w:r>
    </w:p>
    <w:p w:rsidR="009545B3" w:rsidRDefault="009545B3">
      <w:pPr>
        <w:jc w:val="right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09"/>
        <w:gridCol w:w="1040"/>
        <w:gridCol w:w="2973"/>
      </w:tblGrid>
      <w:tr w:rsidR="001063E5" w:rsidRPr="009752DF" w:rsidTr="001063E5">
        <w:trPr>
          <w:trHeight w:val="667"/>
        </w:trPr>
        <w:tc>
          <w:tcPr>
            <w:tcW w:w="2978" w:type="pct"/>
          </w:tcPr>
          <w:p w:rsidR="00033796" w:rsidRPr="00033796" w:rsidRDefault="00033796" w:rsidP="00033796">
            <w:pPr>
              <w:spacing w:line="233" w:lineRule="auto"/>
              <w:jc w:val="both"/>
              <w:rPr>
                <w:sz w:val="22"/>
              </w:rPr>
            </w:pPr>
            <w:r w:rsidRPr="00033796">
              <w:rPr>
                <w:sz w:val="22"/>
              </w:rPr>
              <w:t xml:space="preserve">Заместитель начальника управления – </w:t>
            </w:r>
          </w:p>
          <w:p w:rsidR="00033796" w:rsidRPr="00033796" w:rsidRDefault="00033796" w:rsidP="00033796">
            <w:pPr>
              <w:spacing w:line="233" w:lineRule="auto"/>
              <w:jc w:val="both"/>
              <w:rPr>
                <w:sz w:val="22"/>
              </w:rPr>
            </w:pPr>
            <w:r w:rsidRPr="00033796">
              <w:rPr>
                <w:sz w:val="22"/>
              </w:rPr>
              <w:t xml:space="preserve">начальник финансово-экономического </w:t>
            </w:r>
          </w:p>
          <w:p w:rsidR="001063E5" w:rsidRPr="001063E5" w:rsidRDefault="00033796" w:rsidP="00033796">
            <w:pPr>
              <w:spacing w:line="233" w:lineRule="auto"/>
              <w:jc w:val="both"/>
              <w:rPr>
                <w:sz w:val="22"/>
              </w:rPr>
            </w:pPr>
            <w:r w:rsidRPr="00033796">
              <w:rPr>
                <w:sz w:val="22"/>
              </w:rPr>
              <w:t>отдела финансово-экономического управления</w:t>
            </w:r>
          </w:p>
        </w:tc>
        <w:tc>
          <w:tcPr>
            <w:tcW w:w="524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</w:tc>
        <w:tc>
          <w:tcPr>
            <w:tcW w:w="1498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  <w:r>
              <w:rPr>
                <w:sz w:val="22"/>
              </w:rPr>
              <w:t>Е.В. Курочкина</w:t>
            </w:r>
          </w:p>
        </w:tc>
      </w:tr>
      <w:tr w:rsidR="001063E5" w:rsidRPr="009752DF" w:rsidTr="001063E5">
        <w:trPr>
          <w:trHeight w:val="448"/>
        </w:trPr>
        <w:tc>
          <w:tcPr>
            <w:tcW w:w="2978" w:type="pct"/>
          </w:tcPr>
          <w:p w:rsidR="001063E5" w:rsidRDefault="00033796" w:rsidP="00E016E0">
            <w:pPr>
              <w:spacing w:line="233" w:lineRule="auto"/>
              <w:jc w:val="both"/>
              <w:rPr>
                <w:sz w:val="22"/>
              </w:rPr>
            </w:pPr>
            <w:r w:rsidRPr="001063E5">
              <w:rPr>
                <w:sz w:val="22"/>
              </w:rPr>
              <w:t>министерства природных ресурсов и экологии Новосибирской области</w:t>
            </w:r>
          </w:p>
          <w:p w:rsidR="00033796" w:rsidRPr="001063E5" w:rsidRDefault="00033796" w:rsidP="00E016E0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524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</w:tc>
        <w:tc>
          <w:tcPr>
            <w:tcW w:w="1498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</w:tc>
      </w:tr>
      <w:tr w:rsidR="001063E5" w:rsidRPr="009752DF" w:rsidTr="001063E5">
        <w:trPr>
          <w:trHeight w:val="448"/>
        </w:trPr>
        <w:tc>
          <w:tcPr>
            <w:tcW w:w="2978" w:type="pct"/>
          </w:tcPr>
          <w:p w:rsidR="001063E5" w:rsidRPr="001063E5" w:rsidRDefault="001063E5" w:rsidP="00E016E0">
            <w:pPr>
              <w:spacing w:line="233" w:lineRule="auto"/>
              <w:jc w:val="both"/>
              <w:rPr>
                <w:sz w:val="22"/>
              </w:rPr>
            </w:pPr>
            <w:r w:rsidRPr="001063E5">
              <w:rPr>
                <w:sz w:val="22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24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</w:p>
        </w:tc>
        <w:tc>
          <w:tcPr>
            <w:tcW w:w="1498" w:type="pct"/>
            <w:vAlign w:val="bottom"/>
          </w:tcPr>
          <w:p w:rsidR="001063E5" w:rsidRPr="001063E5" w:rsidRDefault="001063E5" w:rsidP="00E016E0">
            <w:pPr>
              <w:spacing w:line="233" w:lineRule="auto"/>
              <w:jc w:val="right"/>
              <w:rPr>
                <w:sz w:val="22"/>
              </w:rPr>
            </w:pPr>
            <w:r w:rsidRPr="001063E5">
              <w:rPr>
                <w:sz w:val="22"/>
              </w:rPr>
              <w:t>О.В. Бондаренко</w:t>
            </w:r>
          </w:p>
        </w:tc>
      </w:tr>
    </w:tbl>
    <w:p w:rsidR="001063E5" w:rsidRPr="009752DF" w:rsidRDefault="001063E5" w:rsidP="001063E5"/>
    <w:p w:rsidR="001063E5" w:rsidRPr="009752DF" w:rsidRDefault="001063E5" w:rsidP="001063E5">
      <w:r w:rsidRPr="009752DF">
        <w:t>Н.С. Меньших</w:t>
      </w:r>
    </w:p>
    <w:p w:rsidR="009545B3" w:rsidRDefault="001063E5" w:rsidP="001063E5">
      <w:pPr>
        <w:rPr>
          <w:sz w:val="28"/>
          <w:szCs w:val="28"/>
        </w:rPr>
      </w:pPr>
      <w:r w:rsidRPr="009752DF">
        <w:t>296 51 38</w:t>
      </w:r>
    </w:p>
    <w:sectPr w:rsidR="009545B3">
      <w:headerReference w:type="default" r:id="rId14"/>
      <w:headerReference w:type="first" r:id="rId15"/>
      <w:pgSz w:w="11906" w:h="16838"/>
      <w:pgMar w:top="1134" w:right="567" w:bottom="850" w:left="14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BB8" w:rsidRDefault="00480BB8">
      <w:r>
        <w:separator/>
      </w:r>
    </w:p>
  </w:endnote>
  <w:endnote w:type="continuationSeparator" w:id="0">
    <w:p w:rsidR="00480BB8" w:rsidRDefault="00480BB8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 Times New Roman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 AAria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 CCambri"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 CCalibr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 TTahom"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  CourierNew"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 VVerdan"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 Times New Roman Cyr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BB8" w:rsidRDefault="00480BB8">
      <w:r>
        <w:separator/>
      </w:r>
    </w:p>
  </w:footnote>
  <w:footnote w:type="continuationSeparator" w:id="0">
    <w:p w:rsidR="00480BB8" w:rsidRDefault="0048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A2F" w:rsidRDefault="00040A2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796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A2F" w:rsidRDefault="00040A2F">
    <w:pPr>
      <w:pStyle w:val="af0"/>
      <w:jc w:val="center"/>
    </w:pPr>
  </w:p>
  <w:p w:rsidR="00040A2F" w:rsidRDefault="00040A2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FFFFFFF"/>
    <w:lvl w:ilvl="0" w:tplc="FFFFFFFF">
      <w:start w:val="1"/>
      <w:numFmt w:val="decimal"/>
      <w:lvlText w:val="*"/>
      <w:lvlJc w:val="left"/>
      <w:pPr>
        <w:ind w:left="10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" w15:restartNumberingAfterBreak="0">
    <w:nsid w:val="00000001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1215"/>
      </w:pPr>
      <w:rPr>
        <w:rFonts w:ascii=" Times New Roman" w:hAnsi=" Times New Roman" w:cs=" Times New Roman"/>
        <w:sz w:val="20"/>
        <w:szCs w:val="20"/>
      </w:rPr>
    </w:lvl>
    <w:lvl w:ilvl="1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2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3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4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5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6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7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8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3" w15:restartNumberingAfterBreak="0">
    <w:nsid w:val="00000003"/>
    <w:multiLevelType w:val="hybridMultilevel"/>
    <w:tmpl w:val="FFFFFFFF"/>
    <w:lvl w:ilvl="0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1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</w:abstractNum>
  <w:abstractNum w:abstractNumId="4" w15:restartNumberingAfterBreak="0">
    <w:nsid w:val="00000004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5" w15:restartNumberingAfterBreak="0">
    <w:nsid w:val="00000005"/>
    <w:multiLevelType w:val="hybridMultilevel"/>
    <w:tmpl w:val="FFFFFFFF"/>
    <w:lvl w:ilvl="0" w:tplc="FFFFFFFF">
      <w:start w:val="2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6" w15:restartNumberingAfterBreak="0">
    <w:nsid w:val="00000006"/>
    <w:multiLevelType w:val="hybridMultilevel"/>
    <w:tmpl w:val="FFFFFFFF"/>
    <w:lvl w:ilvl="0" w:tplc="FFFFFFFF">
      <w:start w:val="1"/>
      <w:numFmt w:val="decimal"/>
      <w:lvlText w:val="*"/>
      <w:lvlJc w:val="left"/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7" w15:restartNumberingAfterBreak="0">
    <w:nsid w:val="00000007"/>
    <w:multiLevelType w:val="hybridMultilevel"/>
    <w:tmpl w:val="FFFFFFFF"/>
    <w:lvl w:ilvl="0" w:tplc="FFFFFFFF">
      <w:start w:val="2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2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3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4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5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6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7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8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</w:abstractNum>
  <w:abstractNum w:abstractNumId="8" w15:restartNumberingAfterBreak="0">
    <w:nsid w:val="00000008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87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</w:abstractNum>
  <w:abstractNum w:abstractNumId="9" w15:restartNumberingAfterBreak="0">
    <w:nsid w:val="00000009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</w:abstractNum>
  <w:abstractNum w:abstractNumId="10" w15:restartNumberingAfterBreak="0">
    <w:nsid w:val="0000000A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102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1" w15:restartNumberingAfterBreak="0">
    <w:nsid w:val="0000000B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2" w15:restartNumberingAfterBreak="0">
    <w:nsid w:val="0000000C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495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2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3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4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5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6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7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  <w:lvl w:ilvl="8" w:tplc="FFFFFFFF">
      <w:start w:val="1"/>
      <w:numFmt w:val="bullet"/>
      <w:lvlText w:val="*"/>
      <w:lvlJc w:val="left"/>
      <w:pPr>
        <w:ind w:hanging="360"/>
      </w:pPr>
      <w:rPr>
        <w:rFonts w:ascii=" Times New Roman" w:hAnsi=" Times New Roman"/>
        <w:sz w:val="20"/>
      </w:rPr>
    </w:lvl>
  </w:abstractNum>
  <w:abstractNum w:abstractNumId="13" w15:restartNumberingAfterBreak="0">
    <w:nsid w:val="0000000D"/>
    <w:multiLevelType w:val="hybridMultilevel"/>
    <w:tmpl w:val="FFFFFFFF"/>
    <w:lvl w:ilvl="0" w:tplc="FFFFFFFF">
      <w:start w:val="1"/>
      <w:numFmt w:val="decimal"/>
      <w:lvlText w:val="*"/>
      <w:lvlJc w:val="left"/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4" w15:restartNumberingAfterBreak="0">
    <w:nsid w:val="0000000E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5" w15:restartNumberingAfterBreak="0">
    <w:nsid w:val="0000000F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2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3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4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5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6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7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  <w:lvl w:ilvl="8" w:tplc="FFFFFFFF">
      <w:numFmt w:val="none"/>
      <w:lvlText w:val="*"/>
      <w:lvlJc w:val="left"/>
      <w:rPr>
        <w:rFonts w:ascii=" Times New Roman" w:hAnsi=" Times New Roman" w:cs=" Times New Roman"/>
        <w:sz w:val="20"/>
        <w:szCs w:val="20"/>
      </w:rPr>
    </w:lvl>
  </w:abstractNum>
  <w:abstractNum w:abstractNumId="16" w15:restartNumberingAfterBreak="0">
    <w:nsid w:val="00000010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</w:abstractNum>
  <w:abstractNum w:abstractNumId="17" w15:restartNumberingAfterBreak="0">
    <w:nsid w:val="00000011"/>
    <w:multiLevelType w:val="hybridMultilevel"/>
    <w:tmpl w:val="FFFFFFFF"/>
    <w:lvl w:ilvl="0" w:tplc="FFFFFFFF">
      <w:start w:val="1"/>
      <w:numFmt w:val="decimal"/>
      <w:lvlText w:val="*"/>
      <w:lvlJc w:val="left"/>
      <w:pPr>
        <w:ind w:hanging="39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num w:numId="1" w16cid:durableId="256987147">
    <w:abstractNumId w:val="12"/>
  </w:num>
  <w:num w:numId="2" w16cid:durableId="2022005955">
    <w:abstractNumId w:val="15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3" w16cid:durableId="2042244614">
    <w:abstractNumId w:val="8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4" w16cid:durableId="1710833025">
    <w:abstractNumId w:val="3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</w:num>
  <w:num w:numId="5" w16cid:durableId="976765339">
    <w:abstractNumId w:val="7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</w:num>
  <w:num w:numId="6" w16cid:durableId="644891004">
    <w:abstractNumId w:val="1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7" w16cid:durableId="69354781">
    <w:abstractNumId w:val="2"/>
  </w:num>
  <w:num w:numId="8" w16cid:durableId="706372667">
    <w:abstractNumId w:val="16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9" w16cid:durableId="87894985">
    <w:abstractNumId w:val="13"/>
  </w:num>
  <w:num w:numId="10" w16cid:durableId="2142649273">
    <w:abstractNumId w:val="13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1" w16cid:durableId="1815416061">
    <w:abstractNumId w:val="6"/>
  </w:num>
  <w:num w:numId="12" w16cid:durableId="67310790">
    <w:abstractNumId w:val="6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3" w16cid:durableId="775296249">
    <w:abstractNumId w:val="2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4" w16cid:durableId="1516308717">
    <w:abstractNumId w:val="0"/>
  </w:num>
  <w:num w:numId="15" w16cid:durableId="464927026">
    <w:abstractNumId w:val="9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6" w16cid:durableId="12466203">
    <w:abstractNumId w:val="10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7" w16cid:durableId="458573960">
    <w:abstractNumId w:val="5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8" w16cid:durableId="1008025111">
    <w:abstractNumId w:val="11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19" w16cid:durableId="933787525">
    <w:abstractNumId w:val="17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  <w:lvlOverride w:ilvl="1">
      <w:lvl w:ilvl="1" w:tplc="FFFFFFFF">
        <w:numFmt w:val="decimal"/>
        <w:lvlText w:val=""/>
        <w:lvlJc w:val="left"/>
        <w:rPr>
          <w:rFonts w:cs="Times New Roman"/>
        </w:rPr>
      </w:lvl>
    </w:lvlOverride>
    <w:lvlOverride w:ilvl="2">
      <w:lvl w:ilvl="2" w:tplc="FFFFFFFF">
        <w:numFmt w:val="decimal"/>
        <w:lvlText w:val=""/>
        <w:lvlJc w:val="left"/>
        <w:rPr>
          <w:rFonts w:cs="Times New Roman"/>
        </w:rPr>
      </w:lvl>
    </w:lvlOverride>
    <w:lvlOverride w:ilvl="3">
      <w:lvl w:ilvl="3" w:tplc="FFFFFFFF">
        <w:numFmt w:val="decimal"/>
        <w:lvlText w:val=""/>
        <w:lvlJc w:val="left"/>
        <w:rPr>
          <w:rFonts w:cs="Times New Roman"/>
        </w:rPr>
      </w:lvl>
    </w:lvlOverride>
    <w:lvlOverride w:ilvl="4">
      <w:lvl w:ilvl="4" w:tplc="FFFFFFFF">
        <w:numFmt w:val="decimal"/>
        <w:lvlText w:val=""/>
        <w:lvlJc w:val="left"/>
        <w:rPr>
          <w:rFonts w:cs="Times New Roman"/>
        </w:rPr>
      </w:lvl>
    </w:lvlOverride>
    <w:lvlOverride w:ilvl="5">
      <w:lvl w:ilvl="5" w:tplc="FFFFFFFF">
        <w:numFmt w:val="decimal"/>
        <w:lvlText w:val=""/>
        <w:lvlJc w:val="left"/>
        <w:rPr>
          <w:rFonts w:cs="Times New Roman"/>
        </w:rPr>
      </w:lvl>
    </w:lvlOverride>
    <w:lvlOverride w:ilvl="6">
      <w:lvl w:ilvl="6" w:tplc="FFFFFFFF">
        <w:numFmt w:val="decimal"/>
        <w:lvlText w:val=""/>
        <w:lvlJc w:val="left"/>
        <w:rPr>
          <w:rFonts w:cs="Times New Roman"/>
        </w:rPr>
      </w:lvl>
    </w:lvlOverride>
    <w:lvlOverride w:ilvl="7">
      <w:lvl w:ilvl="7" w:tplc="FFFFFFFF">
        <w:numFmt w:val="decimal"/>
        <w:lvlText w:val=""/>
        <w:lvlJc w:val="left"/>
        <w:rPr>
          <w:rFonts w:cs="Times New Roman"/>
        </w:rPr>
      </w:lvl>
    </w:lvlOverride>
    <w:lvlOverride w:ilvl="8">
      <w:lvl w:ilvl="8" w:tplc="FFFFFFFF">
        <w:numFmt w:val="decimal"/>
        <w:lvlText w:val=""/>
        <w:lvlJc w:val="left"/>
        <w:rPr>
          <w:rFonts w:cs="Times New Roman"/>
        </w:rPr>
      </w:lvl>
    </w:lvlOverride>
  </w:num>
  <w:num w:numId="20" w16cid:durableId="1881935466">
    <w:abstractNumId w:val="4"/>
  </w:num>
  <w:num w:numId="21" w16cid:durableId="472722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7E"/>
    <w:rsid w:val="00033796"/>
    <w:rsid w:val="00040A2F"/>
    <w:rsid w:val="001063E5"/>
    <w:rsid w:val="00191449"/>
    <w:rsid w:val="001F3377"/>
    <w:rsid w:val="002E6F1A"/>
    <w:rsid w:val="00362806"/>
    <w:rsid w:val="003765D9"/>
    <w:rsid w:val="00480BB8"/>
    <w:rsid w:val="005066B3"/>
    <w:rsid w:val="00627037"/>
    <w:rsid w:val="006B4452"/>
    <w:rsid w:val="008C1763"/>
    <w:rsid w:val="009545B3"/>
    <w:rsid w:val="00954EBD"/>
    <w:rsid w:val="009752DF"/>
    <w:rsid w:val="00A35D99"/>
    <w:rsid w:val="00A55CF1"/>
    <w:rsid w:val="00AD56BE"/>
    <w:rsid w:val="00B015B8"/>
    <w:rsid w:val="00BC04CF"/>
    <w:rsid w:val="00BF7788"/>
    <w:rsid w:val="00C4265C"/>
    <w:rsid w:val="00C708FA"/>
    <w:rsid w:val="00CB274A"/>
    <w:rsid w:val="00CB4A7E"/>
    <w:rsid w:val="00D44384"/>
    <w:rsid w:val="00DA0542"/>
    <w:rsid w:val="00E016E0"/>
    <w:rsid w:val="00ED4551"/>
    <w:rsid w:val="00EE5B8A"/>
    <w:rsid w:val="00F81865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FE19598"/>
  <w14:defaultImageDpi w14:val="0"/>
  <w15:docId w15:val="{8F7A671A-007A-4948-806C-70001B4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Aria" w:hAnsi=" AAria" w:cs=" AAri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Aria" w:hAnsi=" AAria" w:cs=" AAria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Aria" w:hAnsi=" AAria" w:cs=" AAria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Aria" w:hAnsi=" AAria" w:cs=" AAria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Cambri" w:hAnsi=" CCambri" w:cs=" CCambr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Cambri" w:hAnsi=" CCambri" w:cs=" CCam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Cambri" w:hAnsi=" CCambri" w:cs=" CCam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Calibr" w:hAnsi=" CCalibr" w:cs=" CCalibr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Calibr" w:hAnsi=" CCalibr" w:cs=" CCalibr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 Light" w:hAnsi="Calibri Light" w:cs="Calibri Light"/>
      <w:sz w:val="22"/>
      <w:szCs w:val="22"/>
    </w:rPr>
  </w:style>
  <w:style w:type="character" w:customStyle="1" w:styleId="Heading1Char">
    <w:name w:val="Heading 1 Char"/>
    <w:basedOn w:val="a0"/>
    <w:uiPriority w:val="99"/>
    <w:rPr>
      <w:rFonts w:ascii=" AAria" w:hAnsi=" AAria" w:cs=" AAria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Aria" w:hAnsi=" AAria" w:cs=" AAria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Aria" w:hAnsi=" AAria" w:cs=" AAria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Aria" w:hAnsi=" AAria" w:cs=" AAria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Aria" w:hAnsi=" AAria" w:cs=" AAria"/>
      <w:b/>
      <w:bCs/>
    </w:rPr>
  </w:style>
  <w:style w:type="character" w:customStyle="1" w:styleId="Heading6Char">
    <w:name w:val="Heading 6 Char"/>
    <w:basedOn w:val="a0"/>
    <w:uiPriority w:val="99"/>
    <w:rPr>
      <w:rFonts w:ascii=" AAria" w:hAnsi=" AAria" w:cs=" AAria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Aria" w:hAnsi=" AAria" w:cs=" AAria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Aria" w:hAnsi=" AAria" w:cs=" AAria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Aria" w:hAnsi=" AAria" w:cs=" AAria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rFonts w:ascii=" AAria" w:hAnsi=" AAria" w:cs=" AAria"/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libri Light" w:hAnsi="Calibri Light" w:cs="Calibri Light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Aria" w:hAnsi=" AAria" w:cs=" AAria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  <w:rPr>
      <w:rFonts w:ascii=" AAria" w:hAnsi=" AAria" w:cs=" AA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libri Light" w:hAnsi="Calibri Light" w:cs="Calibri Light"/>
    </w:rPr>
  </w:style>
  <w:style w:type="character" w:customStyle="1" w:styleId="SubtitleChar">
    <w:name w:val="Subtitle Char"/>
    <w:basedOn w:val="a0"/>
    <w:uiPriority w:val="99"/>
    <w:rPr>
      <w:rFonts w:ascii=" AAria" w:hAnsi=" AAria" w:cs=" AAria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Aria" w:hAnsi=" AAria" w:cs=" AAria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 New Roman" w:hAnsi=" Times New Roman" w:cs=" Times New Roman"/>
      <w:i/>
      <w:iCs/>
      <w:color w:val="404040"/>
    </w:rPr>
  </w:style>
  <w:style w:type="character" w:customStyle="1" w:styleId="QuoteChar">
    <w:name w:val="Quote Char"/>
    <w:uiPriority w:val="99"/>
    <w:rPr>
      <w:rFonts w:ascii=" AAria" w:hAnsi=" AAria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Aria" w:hAnsi=" AAria" w:cs=" AAria"/>
      <w:i/>
      <w:iCs/>
      <w:sz w:val="24"/>
      <w:szCs w:val="24"/>
    </w:rPr>
  </w:style>
  <w:style w:type="character" w:customStyle="1" w:styleId="a8">
    <w:name w:val="Выделенная цитата Знак"/>
    <w:basedOn w:val="a0"/>
    <w:link w:val="a7"/>
    <w:uiPriority w:val="99"/>
    <w:locked/>
    <w:rPr>
      <w:rFonts w:ascii=" Times New Roman" w:hAnsi=" Times New Roman" w:cs=" Times New Roman"/>
      <w:i/>
      <w:iCs/>
      <w:color w:val="4472C4"/>
    </w:rPr>
  </w:style>
  <w:style w:type="character" w:customStyle="1" w:styleId="IntenseQuoteChar">
    <w:name w:val="Intense Quote Char"/>
    <w:uiPriority w:val="99"/>
    <w:rPr>
      <w:rFonts w:ascii=" AAria" w:hAnsi=" AAria"/>
      <w:i/>
    </w:rPr>
  </w:style>
  <w:style w:type="character" w:customStyle="1" w:styleId="HeaderChar">
    <w:name w:val="Header Char"/>
    <w:basedOn w:val="a0"/>
    <w:uiPriority w:val="99"/>
    <w:rPr>
      <w:rFonts w:ascii=" AAria" w:hAnsi=" AAria" w:cs=" AAria"/>
    </w:rPr>
  </w:style>
  <w:style w:type="character" w:customStyle="1" w:styleId="FooterChar">
    <w:name w:val="Footer Char"/>
    <w:basedOn w:val="a0"/>
    <w:uiPriority w:val="99"/>
    <w:rPr>
      <w:rFonts w:ascii=" AAria" w:hAnsi=" AAria" w:cs=" AAria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rFonts w:ascii=" AAria" w:hAnsi=" AAria" w:cs=" AAria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Aria" w:hAnsi=" AAria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</w:rPr>
    <w:tblPr>
      <w:tblCellMar>
        <w:left w:w="0" w:type="dxa"/>
        <w:right w:w="0" w:type="dxa"/>
      </w:tblCellMar>
    </w:tblPr>
  </w:style>
  <w:style w:type="character" w:customStyle="1" w:styleId="FootnoteTextChar">
    <w:name w:val="Footnote Text Char"/>
    <w:uiPriority w:val="99"/>
    <w:rPr>
      <w:rFonts w:ascii=" AAria" w:hAnsi=" AAria"/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rFonts w:ascii=" AAria" w:hAnsi=" AAria" w:cs=" AAria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 Times New Roman" w:hAnsi=" Times New Roman" w:cs=" 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Aria" w:hAnsi=" AAria"/>
      <w:sz w:val="20"/>
    </w:rPr>
  </w:style>
  <w:style w:type="character" w:styleId="ac">
    <w:name w:val="endnote reference"/>
    <w:basedOn w:val="a0"/>
    <w:uiPriority w:val="99"/>
    <w:semiHidden/>
    <w:unhideWhenUsed/>
    <w:rPr>
      <w:rFonts w:ascii=" AAria" w:hAnsi=" AAria" w:cs=" AAria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Aria" w:hAnsi=" AAria" w:cs=" AAria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Aria" w:hAnsi=" AAria" w:cs=" AAria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Aria" w:hAnsi=" AAria" w:cs=" AAria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Aria" w:hAnsi=" AAria" w:cs=" AAria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Aria" w:hAnsi=" AAria" w:cs=" AAria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Aria" w:hAnsi=" AAria" w:cs=" AAria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Aria" w:hAnsi=" AAria" w:cs=" AAria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Aria" w:hAnsi=" AAria" w:cs=" AAria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Aria" w:hAnsi=" AAria" w:cs=" AAria"/>
      <w:sz w:val="24"/>
      <w:szCs w:val="24"/>
    </w:rPr>
  </w:style>
  <w:style w:type="paragraph" w:styleId="ad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 AAria" w:hAnsi=" AAria" w:cs=" AAria"/>
    </w:rPr>
  </w:style>
  <w:style w:type="paragraph" w:styleId="ae">
    <w:name w:val="table of figures"/>
    <w:basedOn w:val="a"/>
    <w:next w:val="a"/>
    <w:uiPriority w:val="99"/>
    <w:unhideWhenUsed/>
    <w:rPr>
      <w:rFonts w:ascii=" AAria" w:hAnsi=" AAria" w:cs=" AAria"/>
      <w:sz w:val="24"/>
      <w:szCs w:val="24"/>
    </w:rPr>
  </w:style>
  <w:style w:type="paragraph" w:customStyle="1" w:styleId="13">
    <w:name w:val="заголовок 1"/>
    <w:basedOn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">
    <w:name w:val="Основной шрифт"/>
    <w:uiPriority w:val="99"/>
    <w:rPr>
      <w:rFonts w:ascii=" TimesNewRoman" w:hAnsi=" TimesNewRoman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 TimesNewRoman" w:hAnsi=" TimesNewRoman" w:cs=" TimesNewRoman"/>
      <w:sz w:val="20"/>
      <w:szCs w:val="20"/>
    </w:rPr>
  </w:style>
  <w:style w:type="character" w:customStyle="1" w:styleId="af2">
    <w:name w:val="номер страницы"/>
    <w:basedOn w:val="af"/>
    <w:uiPriority w:val="99"/>
    <w:rPr>
      <w:rFonts w:ascii=" TimesNewRoman" w:hAnsi=" TimesNewRoman" w:cs=" TimesNewRoman"/>
    </w:rPr>
  </w:style>
  <w:style w:type="paragraph" w:styleId="af3">
    <w:name w:val="Body Text"/>
    <w:basedOn w:val="a"/>
    <w:link w:val="af4"/>
    <w:uiPriority w:val="99"/>
    <w:pPr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26">
    <w:name w:val="Body Text 2"/>
    <w:basedOn w:val="a"/>
    <w:link w:val="27"/>
    <w:uiPriority w:val="99"/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Pr>
      <w:rFonts w:ascii=" TimesNewRoman" w:hAnsi=" TimesNewRoman" w:cs=" TimesNewRoman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 TimesNewRoman" w:hAnsi=" TimesNewRoman" w:cs=" TimesNewRoman"/>
      <w:sz w:val="16"/>
      <w:szCs w:val="16"/>
    </w:rPr>
  </w:style>
  <w:style w:type="paragraph" w:styleId="af7">
    <w:name w:val="Block Text"/>
    <w:basedOn w:val="a"/>
    <w:uiPriority w:val="99"/>
    <w:pPr>
      <w:ind w:left="-567"/>
      <w:jc w:val="both"/>
    </w:pPr>
    <w:rPr>
      <w:sz w:val="28"/>
      <w:szCs w:val="28"/>
    </w:rPr>
  </w:style>
  <w:style w:type="paragraph" w:styleId="af8">
    <w:name w:val="Balloon Text"/>
    <w:basedOn w:val="a"/>
    <w:link w:val="af9"/>
    <w:uiPriority w:val="99"/>
    <w:semiHidden/>
    <w:rPr>
      <w:rFonts w:ascii=" TTahom" w:hAnsi=" TTahom" w:cs=" TTahom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 TTahom" w:hAnsi=" TTahom" w:cs=" TTahom"/>
      <w:sz w:val="16"/>
      <w:szCs w:val="16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  <w:tblPr>
      <w:tblInd w:w="0" w:type="nil"/>
    </w:tblPr>
  </w:style>
  <w:style w:type="paragraph" w:styleId="afb">
    <w:name w:val="Body Text Indent"/>
    <w:basedOn w:val="a"/>
    <w:link w:val="afc"/>
    <w:uiPriority w:val="9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customStyle="1" w:styleId="35">
    <w:name w:val="заголовок 3"/>
    <w:basedOn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d">
    <w:name w:val="page number"/>
    <w:basedOn w:val="a0"/>
    <w:uiPriority w:val="99"/>
    <w:rPr>
      <w:rFonts w:ascii=" TimesNewRoman" w:hAnsi=" TimesNewRoman" w:cs=" TimesNewRoman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 AAria" w:hAnsi=" AAria" w:cs=" AAri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 AAria" w:hAnsi=" AAria" w:cs=" AAri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b/>
      <w:bCs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  CourierNew" w:hAnsi="  CourierNew" w:cs="  CourierNew"/>
      <w:sz w:val="20"/>
      <w:szCs w:val="20"/>
    </w:rPr>
  </w:style>
  <w:style w:type="paragraph" w:styleId="36">
    <w:name w:val="Body Text 3"/>
    <w:basedOn w:val="a"/>
    <w:link w:val="37"/>
    <w:uiPriority w:val="99"/>
    <w:semiHidden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Pr>
      <w:rFonts w:ascii=" TimesNewRoman" w:hAnsi=" TimesNewRoman" w:cs=" TimesNewRoman"/>
      <w:sz w:val="16"/>
      <w:szCs w:val="16"/>
    </w:rPr>
  </w:style>
  <w:style w:type="character" w:styleId="afe">
    <w:name w:val="Hyperlink"/>
    <w:basedOn w:val="a0"/>
    <w:uiPriority w:val="99"/>
    <w:semiHidden/>
    <w:rPr>
      <w:rFonts w:ascii=" TimesNewRoman" w:hAnsi=" TimesNewRoman" w:cs=" TimesNewRoman"/>
      <w:color w:val="0000FF"/>
      <w:u w:val="single"/>
    </w:rPr>
  </w:style>
  <w:style w:type="character" w:styleId="aff">
    <w:name w:val="FollowedHyperlink"/>
    <w:basedOn w:val="a0"/>
    <w:uiPriority w:val="99"/>
    <w:semiHidden/>
    <w:rPr>
      <w:rFonts w:ascii=" TimesNewRoman" w:hAnsi=" TimesNewRoman" w:cs=" TimesNewRoman"/>
      <w:color w:val="800080"/>
      <w:u w:val="single"/>
    </w:rPr>
  </w:style>
  <w:style w:type="paragraph" w:styleId="aff0">
    <w:name w:val="footnote text"/>
    <w:basedOn w:val="a"/>
    <w:link w:val="aff1"/>
    <w:uiPriority w:val="99"/>
    <w:semiHidden/>
    <w:pPr>
      <w:ind w:firstLine="720"/>
      <w:jc w:val="both"/>
    </w:pPr>
    <w:rPr>
      <w:rFonts w:ascii=" AAria" w:hAnsi=" AAria" w:cs=" AAria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Pr>
      <w:rFonts w:ascii=" AAria" w:hAnsi=" AAria" w:cs=" AAria"/>
      <w:sz w:val="20"/>
      <w:szCs w:val="20"/>
    </w:rPr>
  </w:style>
  <w:style w:type="paragraph" w:styleId="aff2">
    <w:name w:val="annotation text"/>
    <w:basedOn w:val="a"/>
    <w:link w:val="aff3"/>
    <w:uiPriority w:val="99"/>
    <w:semiHidden/>
  </w:style>
  <w:style w:type="character" w:customStyle="1" w:styleId="aff3">
    <w:name w:val="Текст примечания Знак"/>
    <w:basedOn w:val="a0"/>
    <w:link w:val="aff2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locked/>
    <w:rPr>
      <w:rFonts w:ascii=" TimesNewRoman" w:hAnsi=" TimesNewRoman" w:cs=" TimesNewRoman"/>
      <w:b/>
      <w:bCs/>
      <w:sz w:val="20"/>
      <w:szCs w:val="20"/>
    </w:rPr>
  </w:style>
  <w:style w:type="paragraph" w:styleId="aff6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CCalibr" w:hAnsi=" CCalibr" w:cs=" CCalibr"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Aria" w:hAnsi=" AAria" w:cs=" AAria"/>
      <w:sz w:val="20"/>
      <w:szCs w:val="20"/>
    </w:rPr>
  </w:style>
  <w:style w:type="paragraph" w:customStyle="1" w:styleId="aff7">
    <w:name w:val="Знак"/>
    <w:basedOn w:val="a"/>
    <w:uiPriority w:val="99"/>
    <w:pPr>
      <w:spacing w:after="160" w:line="240" w:lineRule="exact"/>
    </w:pPr>
    <w:rPr>
      <w:rFonts w:ascii=" VVerdan" w:hAnsi=" VVerdan" w:cs=" VVerdan"/>
    </w:rPr>
  </w:style>
  <w:style w:type="character" w:styleId="aff8">
    <w:name w:val="footnote reference"/>
    <w:basedOn w:val="a0"/>
    <w:uiPriority w:val="99"/>
    <w:semiHidden/>
    <w:rPr>
      <w:rFonts w:ascii=" TimesNewRoman" w:hAnsi=" TimesNewRoman" w:cs=" TimesNewRoman"/>
      <w:vertAlign w:val="superscript"/>
    </w:rPr>
  </w:style>
  <w:style w:type="character" w:styleId="aff9">
    <w:name w:val="annotation reference"/>
    <w:basedOn w:val="a0"/>
    <w:uiPriority w:val="99"/>
    <w:semiHidden/>
    <w:rPr>
      <w:rFonts w:ascii=" TimesNewRoman" w:hAnsi=" TimesNewRoman" w:cs=" TimesNewRoman"/>
      <w:sz w:val="16"/>
      <w:szCs w:val="16"/>
    </w:rPr>
  </w:style>
  <w:style w:type="paragraph" w:styleId="affa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 CCalibr" w:hAnsi=" CCalibr" w:cs=" CCalibr"/>
      <w:sz w:val="22"/>
      <w:szCs w:val="22"/>
    </w:rPr>
  </w:style>
  <w:style w:type="paragraph" w:styleId="affb">
    <w:name w:val="Plain Text"/>
    <w:basedOn w:val="a"/>
    <w:link w:val="affc"/>
    <w:uiPriority w:val="99"/>
    <w:unhideWhenUsed/>
    <w:rPr>
      <w:rFonts w:ascii="  CourierNew" w:hAnsi="  CourierNew" w:cs="  CourierNew"/>
    </w:rPr>
  </w:style>
  <w:style w:type="character" w:customStyle="1" w:styleId="affc">
    <w:name w:val="Текст Знак"/>
    <w:basedOn w:val="a0"/>
    <w:link w:val="affb"/>
    <w:uiPriority w:val="99"/>
    <w:locked/>
    <w:rPr>
      <w:rFonts w:ascii="  CourierNew" w:hAnsi="  CourierNew" w:cs="  CourierNew"/>
    </w:rPr>
  </w:style>
  <w:style w:type="paragraph" w:styleId="affd">
    <w:name w:val="Normal (Web)"/>
    <w:basedOn w:val="a"/>
    <w:uiPriority w:val="99"/>
    <w:semiHidden/>
    <w:unhideWhenUsed/>
    <w:pPr>
      <w:spacing w:before="30" w:after="30"/>
    </w:pPr>
    <w:rPr>
      <w:sz w:val="24"/>
      <w:szCs w:val="24"/>
    </w:rPr>
  </w:style>
  <w:style w:type="paragraph" w:styleId="affe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  <w:style w:type="character" w:customStyle="1" w:styleId="xdocdata">
    <w:name w:val="x_docdata"/>
    <w:aliases w:val="docy,v5,2665,bqiaagaaeyqcaaagiaiaaamgcgaabrqkaaaaaaaaaaaaaaaaaaaaaaaaaaaaaaaaaaaaaaaaaaaaaaaaaaaaaaaaaaaaaaaaaaaaaaaaaaaaaaaaaaaaaaaaaaaaaaaaaaaaaaaaaaaaaaaaaaaaaaaaaaaaaaaaaaaaaaaaaaaaaaaaaaaaaaaaaaaaaaaaaaaaaaaaaaaaaaaaaaaaaaaaaaaaaaaaaaaaa"/>
    <w:basedOn w:val="a0"/>
    <w:uiPriority w:val="99"/>
    <w:rPr>
      <w:rFonts w:ascii=" Times New Roman" w:hAnsi=" Times New Roman" w:cs=" Times New Roman"/>
    </w:rPr>
  </w:style>
  <w:style w:type="character" w:customStyle="1" w:styleId="apple-converted-space">
    <w:name w:val="apple-converted-space"/>
    <w:basedOn w:val="a0"/>
    <w:uiPriority w:val="99"/>
    <w:rPr>
      <w:rFonts w:ascii=" Times New Roman" w:hAnsi=" Times New Roman" w:cs=" Times New Roman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 Times New Roman" w:hAnsi=" Times New Roman" w:cs=" Times New Roman"/>
      <w:sz w:val="24"/>
      <w:szCs w:val="24"/>
    </w:rPr>
  </w:style>
  <w:style w:type="paragraph" w:customStyle="1" w:styleId="docdata">
    <w:name w:val="docdata"/>
    <w:aliases w:val="3104,bqiaagaaeyqcaaagiaiaaapocqaabdwjaaaaaaaaaaaaaaaaaaaaaaaaaaaaaaaaaaaaaaaaaaaaaaaaaaaaaaaaaaaaaaaaaaaaaaaaaaaaaaaaaaaaaaaaaaaaaaaaaaaaaaaaaaaaaaaaaaaaaaaaaaaaaaaaaaaaaaaaaaaaaaaaaaaaaaaaaaaaaaaaaaaaaaaaaaaaaaaaaaaaaaaaaaaaaaaaaaaaaaaa,29433"/>
    <w:basedOn w:val="a"/>
    <w:rsid w:val="0036280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6661&amp;dst=116491" TargetMode="External"/><Relationship Id="rId13" Type="http://schemas.openxmlformats.org/officeDocument/2006/relationships/hyperlink" Target="https://login.consultant.ru/link/?req=doc&amp;base=RLAW049&amp;n=155807&amp;dst=116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55807&amp;dst=116264" TargetMode="External"/><Relationship Id="rId12" Type="http://schemas.openxmlformats.org/officeDocument/2006/relationships/hyperlink" Target="https://login.consultant.ru/link/?req=doc&amp;base=RLAW049&amp;n=166661&amp;dst=1164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66661&amp;dst=11649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49&amp;n=155807&amp;dst=122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6661&amp;dst=11649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3151</Words>
  <Characters>22678</Characters>
  <Application>Microsoft Office Word</Application>
  <DocSecurity>0</DocSecurity>
  <Lines>188</Lines>
  <Paragraphs>51</Paragraphs>
  <ScaleCrop>false</ScaleCrop>
  <Company/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Microsoft Office User</cp:lastModifiedBy>
  <cp:revision>3</cp:revision>
  <dcterms:created xsi:type="dcterms:W3CDTF">2024-02-18T15:01:00Z</dcterms:created>
  <dcterms:modified xsi:type="dcterms:W3CDTF">2024-02-18T15:05:00Z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Р7-Офис/7.4.0.351</vt:lpwstr>
  </property>
</Properties>
</file>