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5320"/>
                <wp:effectExtent l="0" t="0" r="0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245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МИНИСТЕРСТВО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СТРОИТЕЛЬСТВА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ПРИКАЗ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>
        <w:trPr/>
        <w:tc>
          <w:tcPr>
            <w:tcW w:w="506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r>
          </w:p>
        </w:tc>
      </w:tr>
    </w:tbl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г. Новосибирск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О порядке передачи жилых помещений в собственность гражданам, пострадавших от действий застройщиков,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ind w:left="0" w:right="0" w:firstLine="567"/>
        <w:jc w:val="both"/>
        <w:spacing w:after="0" w:line="283" w:lineRule="atLeast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В соответствии с </w:t>
      </w:r>
      <w:hyperlink r:id="rId12" w:tooltip="https://login.consultant.ru/link/?req=doc&amp;base=RLAW049&amp;n=166121&amp;dst=100011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4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</w:t>
      </w:r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 земельные участки в аренду без проведения торгов», </w:t>
      </w:r>
      <w:hyperlink r:id="rId13" w:tooltip="https://login.consultant.ru/link/?req=doc&amp;base=RLAW049&amp;n=146221&amp;dst=100058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44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 министерства строительства Новосибирской области от 06.10.2016 № 385 «Об утверждении Типового порядка передачи жилых помещений в собственность гражданам, пострадавшим от действий застройщиков, не исполнивших свои обязательства по передаче жилых помещений </w:t>
      </w:r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перед гражданами, вложившими денежные средства в строительство многоквартирных домов на территории Новосибирской области»</w:t>
      </w:r>
      <w:r>
        <w:rPr>
          <w:sz w:val="24"/>
        </w:rPr>
      </w:r>
      <w:r>
        <w:rPr>
          <w:sz w:val="24"/>
        </w:rPr>
      </w:r>
    </w:p>
    <w:p>
      <w:pPr>
        <w:contextualSpacing/>
        <w:ind w:firstLine="567"/>
        <w:jc w:val="both"/>
        <w:spacing w:line="283" w:lineRule="atLeast"/>
        <w:widowControl/>
        <w:rPr>
          <w:rFonts w:eastAsia="Courier New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Style w:val="933"/>
          <w:rFonts w:eastAsia="Courier New"/>
          <w:b/>
          <w:sz w:val="28"/>
          <w:szCs w:val="28"/>
        </w:rPr>
        <w:t xml:space="preserve">приказываю</w:t>
      </w:r>
      <w:r>
        <w:rPr>
          <w:rStyle w:val="933"/>
          <w:rFonts w:eastAsia="Courier New"/>
          <w:sz w:val="28"/>
          <w:szCs w:val="28"/>
        </w:rPr>
        <w:t xml:space="preserve">:</w:t>
      </w:r>
      <w:r>
        <w:rPr>
          <w:rFonts w:eastAsia="Courier New"/>
          <w:sz w:val="28"/>
          <w:szCs w:val="28"/>
        </w:rPr>
      </w:r>
      <w:r>
        <w:rPr>
          <w:rFonts w:eastAsia="Courier New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Утвердить прилагаемый </w:t>
      </w:r>
      <w:hyperlink r:id="rId14" w:tooltip="file:///opt/r7-office/desktopeditors/editors/web-apps/apps/documenteditor/main/index.html?_dc=0&amp;lang=ru-RU&amp;frameEditorId=placeholder&amp;parentOrigin=file://#Par35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44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 передачи жилых пом</w:t>
      </w:r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44"/>
          <w:szCs w:val="4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44"/>
          <w:highlight w:val="none"/>
        </w:rPr>
        <w:t xml:space="preserve">2. Министерству строительства Новосибирской области (далее – министерство) разместить Порядок на официальном сайте министерства строительства Новосибирской области в информационно – телекоммуникационной сети Интернет. </w:t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Style w:val="956"/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заместителя министра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строительства Новосибирской области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Богомолова Д.Н.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Style w:val="956"/>
        <w:ind w:left="0" w:firstLine="567"/>
        <w:jc w:val="both"/>
        <w:spacing w:line="283" w:lineRule="atLeast"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pStyle w:val="948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        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А.В. Колмаков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УТВЕРЖДЕНО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приказом министерства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строительства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от __________ № ____________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передачи жилых помещений в собственность гражданам, пострадавших от действий застройщиков,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44"/>
        </w:rPr>
        <w:t xml:space="preserve">I Общие положения</w:t>
      </w:r>
      <w:r/>
    </w:p>
    <w:p>
      <w:pPr>
        <w:ind w:left="0" w:right="0" w:firstLine="53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Порядок передачи жилых помещений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рритории города Новосибирска (далее - Порядок), разработан в соответствии с </w:t>
      </w:r>
      <w:hyperlink r:id="rId15" w:tooltip="https://login.consultant.ru/link/?req=doc&amp;base=RLAW049&amp;n=166121&amp;dst=100059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земельные участки в аренду без проведения торгов» (далее - Закон Новосибирской области), </w:t>
      </w:r>
      <w:hyperlink r:id="rId16" w:tooltip="https://login.consultant.ru/link/?req=doc&amp;base=RLAW049&amp;n=146221&amp;dst=100058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министерства строительства Новосибирской области от 06.10.2016 № 385 «Об утверждении Типового порядка передачи жилых помещений в собственность гражданам, пострадавшим от действий застройщиков, не исполнивших свои обязательства по передаче жилых помещений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 гражданами, вложившими денежные средства в строительство многоквартирных домов на территории Новосибирской области» (далее – Типовой порядок)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Порядок определяет условия передачи жилых помещений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ртирных домов на территории Новосибирской области (далее - застройщики), процедуру формирования списка указанных граждан и особенности предоставления им жилых помещений.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Для целей Порядка используются следующие понятия: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граждане, пострадавшие от действий застройщиков, - граждане, включенные в список претенду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ющих на поддержку лиц, требования которых включены в реестр требований участников строительства в соответствии с Федеральным </w:t>
      </w:r>
      <w:hyperlink r:id="rId17" w:tooltip="https://login.consultant.ru/link/?req=doc&amp;base=LAW&amp;n=454238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26.10.2002 № 127-ФЗ № О несостоятельности (банкротстве)» (далее - Список претендующих на поддержку лиц), ведение которых осуществляется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 - договор участия в долевом строительстве многоквартирного дома, инвестиционный договор, договор паенакопления либо договор уступки права требования по договору участия в долевом строительстве, инвестиционному договору, договору паенакопления, иные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договоры, дающие право гражданину, пострадавшему от действий застройщика, на получение жилого помещения в собственность;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жилые помещения - жилые помещения, которые подлежат передаче в собственность гражданам, пострадавшим от действий застройщиков, при реализации масштабного инвестиционного проекта, критерии для которого установлены </w:t>
      </w:r>
      <w:hyperlink r:id="rId18" w:tooltip="https://login.consultant.ru/link/?req=doc&amp;base=RLAW049&amp;n=166121&amp;dst=100011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пунктом 2 части 1 статьи 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Закона Новосибирской области (далее - проект);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инициатор проекта - юридическое лицо, реализующее проект на предоставленном мэрией города Новосибирска в аренду земельном участке в соответствии с распоряжением Губернатора Новосибирской области на территории города Новосибирска;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список граждан - </w:t>
      </w:r>
      <w:hyperlink r:id="rId19" w:tooltip="file:///opt/r7-office/desktopeditors/editors/web-apps/apps/documenteditor/main/index.html?_dc=0&amp;lang=ru-RU&amp;frameEditorId=placeholder&amp;parentOrigin=file://#Par144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список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граждан, пострадавших от действий застройщиков, для предоставления инициатором проекта жилых помещений в собственность указанным гражданам, формируемый министерством на основании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Списка претендующих на поддержку лиц по форме согласно приложению 1 к Порядку;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льготная стоимость - стоимость квадратного метра жилых помещений в размере 6,5% от полной (рыночной) стоимости за квадратный метр на момент заключения договора.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II Условия передачи жилых помещений в собственность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center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гражданам, пострадавших от действий застройщиков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4. Передача жилого помещения осуществляется с согласия граждан, пострадавших от действий застройщиков, в пределах: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1) не менее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 2,5 процентов общей площади жилых помещений в многоквартирном(ых) доме(ах), строительство которых предполагается в рамках реализации проекта в соответствии с критерием, установленным </w:t>
      </w:r>
      <w:hyperlink r:id="rId20" w:tooltip="https://login.consultant.ru/link/?req=doc&amp;base=RLAW049&amp;n=166121&amp;dst=100062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36"/>
            <w:u w:val="none"/>
          </w:rPr>
          <w:t xml:space="preserve">пунктом 2 части 1 статьи 1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Закона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не менее 6 процентов общей площади жилых помещений в многоквартирном(ых) доме(ах), строительство которых предполагается в рамках реализации проекта в соответствии с критерием, установленным </w:t>
      </w:r>
      <w:hyperlink r:id="rId21" w:tooltip="https://login.consultant.ru/link/?req=doc&amp;base=RLAW049&amp;n=166121&amp;dst=100057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36"/>
            <w:u w:val="none"/>
          </w:rPr>
          <w:t xml:space="preserve">пунктом 2.1 части 1 статьи 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 Закона 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53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Гражданин, пострадавший от действий застройщиков, имеет право на получение жилого помещения один раз.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  <w:highlight w:val="none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Жилое помещение передается гражданину, пострадавшему от действий застройщика, при соблюдении следующих условий в совокупности: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1) нахождение в Списке претендующих на поддержку лиц;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 утрата возможности восстановления нарушенных прав иным способом, в том числе по средством судебной защиты;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3) гражданину, пострадавшему от действий застройщика, или его супругу (супруге) не предоставлялось жилое помещение в собственность в рамках настоящего Порядка;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4) пр</w:t>
      </w:r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ивлечение денежных средств гражданина для строительства многоквартирного дома связано с возникновением у этого гражданина права собственности на жилое помещение в многоквартирном доме на территории Новосибирской области, застройщик которого не исполнил сво</w:t>
      </w:r>
      <w:r>
        <w:rPr>
          <w:rFonts w:ascii="Times New Roman" w:hAnsi="Times New Roman" w:eastAsia="Times New Roman" w:cs="Times New Roman"/>
          <w:color w:val="000000"/>
          <w:sz w:val="28"/>
          <w:szCs w:val="44"/>
        </w:rPr>
        <w:t xml:space="preserve">и обязательства по передаче жилого помещения;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оплата гражданином инициатору проекта за предоставляемое жилое помещение дополнительных денежных средств в размере, определенном в соответствии с </w:t>
      </w:r>
      <w:hyperlink r:id="rId22" w:tooltip="file:///opt/r7-office/desktopeditors/editors/web-apps/apps/documenteditor/main/index.html?_dc=0&amp;lang=ru-RU&amp;frameEditorId=placeholder&amp;parentOrigin=file://#Par208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методикой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определения размера денежных средств, оплачиваемых гражданином дополнительно за передаваемое жилое помещение, согласно приложению 2 к Порядку;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заключение соглашения об уступке прав требований по договору в полном объеме инициатору проекта (при наличии у гражданина соответствующего права).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Жилое помещение передается гражданину, пострадавшему от действий застройщика, в собственность.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Площадь передаваемого жилого помещения может быть меньше площади жилого помещения, которая указана в договоре, в зависимости от плана квартиры. При предоставлении жилого помещения площадью, превышающей площадь, указанную в договоре, разница оплачивается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ажданином по полной (рыночной) стоимости за квадратный метр на момент заключения договора с инициатором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стороной по договору является одновременно несколько граждан, пострадавших от действий застройщиков, то передаче подлежит только одно жилое помещение. Жилое помещение передается в общую долевую собственность в долях, определенных договором (е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сли доли определены договором), в равных долях (если доли не определены договором) либо в общую совместную собственность в случаях, когда возникновение общей совместной собственности предусмотрено гражданским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стороной по договору является одновременно несколько граждан, некоторые из которых не включены в Список претендующих на поддержку лиц, жилое помещение в размере доли, указанной в договоре, предоставляется гражданам, вкл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юченным в Список претендующих на поддержку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Правом на внеочередное включение в список граждан обладают: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граждане, достигшие возраста 75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инвалиды I и II групп;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многодетные семьи или граждане, имеющие трех и более детей;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специальной военной операции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члены их семей;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граждане, заключившие договор более 15 лет назад.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абзацы введены </w:t>
      </w:r>
      <w:hyperlink r:id="rId23" w:tooltip="https://login.consultant.ru/link/?req=doc&amp;base=RLAW049&amp;n=173159&amp;dst=100022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36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 Минстроя Новосибирской области от 03.06.2024 N 98-НПА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sz w:val="24"/>
        </w:rPr>
      </w:r>
      <w:r/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включения в список граждан во внеочередном порядке гражданину необходимо обратиться в министерство с соответствующим заявлением с приложением документов, подтверждающих право на внеочередное включение в список граждан.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III Формирование списка граждан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center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9. Министерство в течении пяти дней со дня издания распоряжения Губернатора Новосибирской области о реализации масштабного-инвести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ционного проекта направляет запрос в департамент имущества и земельных отношений Новосибирской области (далее – департамент) о предоставлении копии договора аренды земельного участка, заключенного с инициатором проекта (далее – договор аренды). Департамент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в течении 5 дней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 даты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государственной регистрации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направляет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в министерство копию договора аренды.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10. Министерство в течении 30 дней со дня получения договора аренды формирует предварительный список граждан в соответствии с пунктами 4 - 8 порядка на основании Списка претендующих на поддержку лиц и представляет его на рассмотрение комиссии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формированию списка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граждан, пострадавших от действий недобросовестных застройщиков,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 исполнивших свои обязательства по передаче жилых помещений перед гражданами, вложившими денежные средства в строительство многоквартирных домов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 претендующих на получения жилья от инициаторов масштабных инвестиционных проектов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 территории Новосибирской области (далее – комиссия)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, положение и состав которой утверждены приказом министерства.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11. Предварительный список граждан формируется исходя из порядкового номера гражданина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Списке претендующих на поддержку лиц с соблюдениями условий, предусмотренных пунктом 6 Порядка, и наличия письменного согласия гражданина на получение предоставляемого жилого помещения.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12. Министерство в течении 10 дней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со дня утверждения комиссией предварительного списка граждан направляет включенным в него гражданам уведомления о формировании списка граждан и возможности передачи им в собственность жилого помещения в рамках реализации проекта. В уведомлении указываются: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1) планируемый срок реализации проекта;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2) условия передачи жилых помещений в собственность гражданам, пострадавших от действий застройщиков, предусмотренные разделом 2 Порядка;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3) срок представления согласия гражданина на включение в список граждан.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13. Гражданин, пострадавший от действий застройщика, не исполнившего свои обязательства по передаче жилого помещения,  изъявивший желание на включение его в список граждан, в срок, указанный в уведомлении, представляет в министерство заявление о включении его в список граждан по форме согласно приложению 3 к Порядку.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14. В случае не поступления согласия гражданина на включение в список граждан в срок, указанный в уведомлении, мин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истерством осуществляется дополнительное формирование предварительного списка граждан в соответствии с пунктами 10 - 13 Порядка согласно приложению 4 к Порядку, при этом один и тот же гражданин может быть включен в предварительный список не более двух раз.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b w:val="0"/>
          <w:bCs w:val="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15. Министерство в течении 20 дней со дня истечения срока представления согласия гражданина на включение в список граждан, указанного в уведомлении, формирует список граждан и направляет его для согласования в муниципальные образования. Муниципальные образования в срок, не позднее 5 дней согласовывает список граждан и направляет его в министерство.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16. Представляемый на согласование список граждан с количеством листов более одного должен иметь нумерацию листов и быть сшит прочными нитками с учетом возможности свободного чтения текста всех листов докумен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та. Место скрепления листов заклеивается бумажной наклейкой, на которую ставится виза ответственного исполнителя таким образом, чтобы часть визы исполнителя была расположена на бумажной наклейке, часть на листе с указанием количества листов списка граждан.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IV Особенности предоставления жилых помещений 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в собственность граждан, пострадавших 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от действий застройщиков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center"/>
        <w:spacing w:before="0" w:beforeAutospacing="0" w:after="0" w:afterAutospacing="0" w:line="283" w:lineRule="atLeast"/>
        <w:rPr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sz w:val="24"/>
          <w:szCs w:val="24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17. Министерство в течении пяти дней со дня поступления согласованного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муниципальным образованием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списка граждан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направляет список граждан инициатору проекта.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18. Инициатор проекта в период реа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лизации проекта обеспечивает предоставления жилых помещений гражданам, пострадавшим от действий застройщиков, включенным в список граждан, с соблюдением условий, предусмотренных разделом 2 Порядка, в соответствии с положением гражданского законодательства.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19. После исполнения обязательств инициатор проекта представляет в министерство отчет о передаче жилых помещений в собственность гражданам, пострадавшим от действий застройщиков, включенных в список граждан.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4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4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39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before="0" w:beforeAutospacing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83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jc w:val="lef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lef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Приложение № 1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к  Порядку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передачи жилых помещений в собственность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гражданам, пострадавшим от действий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застройщиков, не исполнивших свои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обязательства по передаче жилых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помещений перед гражданами,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вложившими денежные средства в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строительство многоквартирных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домов на территории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Новосибирской области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Список граждан, пострадавших от действий застройщиков</w:t>
      </w:r>
      <w:r/>
    </w:p>
    <w:p>
      <w:pPr>
        <w:ind w:left="0" w:right="0" w:firstLine="53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tbl>
      <w:tblPr>
        <w:tblStyle w:val="95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5"/>
        <w:gridCol w:w="1335"/>
        <w:gridCol w:w="1335"/>
        <w:gridCol w:w="1035"/>
        <w:gridCol w:w="1245"/>
        <w:gridCol w:w="1410"/>
        <w:gridCol w:w="855"/>
        <w:gridCol w:w="135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Фамилия, имя, отчество (при наличии) участника строительства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Дата рождения участника строительства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N квартиры, количество жилых комнат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Площадь жилого помещения, подлежащего передаче, кв. 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Реквизиты договора, на основании которого у участника строительства возникает право требования к застройщику, не исполнившему свои обязательства (наименование, дата, номер)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Сумма оплаты по договору, тыс. руб.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Внесено застройщику, не исполнившему свои обязательства по передаче жилого помещения, тыс. руб.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</w:tbl>
    <w:p>
      <w:pPr>
        <w:ind w:left="0" w:right="0" w:firstLine="53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Глава муниципального 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Новосибирской области   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                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(Ф.И.О., подпись, дата)</w:t>
      </w:r>
      <w:r>
        <w:rPr>
          <w:rFonts w:ascii="Courier New" w:hAnsi="Courier New" w:eastAsia="Courier New" w:cs="Courier New"/>
          <w:color w:val="000000"/>
          <w:sz w:val="20"/>
        </w:rPr>
        <w:t xml:space="preserve">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СОГЛАСОВАНО: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Министр строительства</w:t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Новосибирской област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и                      _______________________       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(подпись, дата).</w:t>
      </w:r>
      <w:r/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Приложение № 2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к  Порядку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передачи жилых помещений в собственность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гражданам, пострадавшим от действий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застройщиков, не исполнивших свои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обязательства по передаче жилых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помещений перед гражданами,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вложившими денежные средства в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строительство многоквартирных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домов на территории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0"/>
        <w:jc w:val="right"/>
        <w:spacing w:after="0" w:line="57" w:lineRule="atLeast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Новосибирской области</w:t>
      </w:r>
      <w:r>
        <w:rPr>
          <w:sz w:val="24"/>
        </w:rPr>
      </w:r>
      <w:r>
        <w:rPr>
          <w:sz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center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9"/>
        <w:jc w:val="center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Определения размера денежных средств, оплачиваемых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9"/>
        <w:jc w:val="center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гражданином дополнительно за передаваемое жилое помещение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9"/>
        <w:jc w:val="center"/>
        <w:spacing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3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Расчет размера денежных средств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плачиваемых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гражданином дополнительно за передаваемое жилое помещение, осуществляется по формуле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P=(S1 x 0.065 x R) + (S2 x R), где: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P – размер денежных средств, оплачиваемых гражданином дополнительно за передаваемое жилое помещение,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S1 – общая площадь жилого помещения, оплаченная гражданином по договору с застройщиком, не исполнившим свои обязательства по передаче жилого помещения перед гражданином, не превышающая 60 кв. м., кв. 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S2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площадь жилого помещения, оплаченная гражданином по договору с застройщиком, не исполнившим свои обязательства по передаче жилого помещения перед гражданином, превышающая 60 кв. м., кв. 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R – размер стоимости одного кв. метра жилого помещения на момент заключения договора с инициатором проекта, рублей.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9"/>
        <w:jc w:val="both"/>
        <w:spacing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передачи жилых помещений в собственность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гражданам, пострадавшим от действий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застройщиков, не исполнивших свои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обязательства по передаче жилых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помещений перед гражданами,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вложившими денежные средства 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строительство многоквартирных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домов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Министру строительства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(адрес, номер контактного телефона)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электронной почты (при наличии))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включе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список граждан, пострадавших от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действий застройщиков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из числа граждан,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включенных в Реестр граждан и Список, претендующих на поддержку лиц, которые вложили денежные средства в строительство объектов, расположенных на территории Новосибирской области, где не реализуются масштабные инвестиционные проекты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включить в дополнительный список граждан, пострадавших от действий застройщиков,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(фамилия, имя, отчество (при наличии) заявителя,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данные документа, удостоверяющего личность заявителя,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 (при наличии) представителя заявителя,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реквизиты документа, подтверждающего полномочия)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Адрес заявителя: ____________________________________________________________________ 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заявителя: 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 долевого строительства: 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(почтовый или строительный)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номер жилого помещения, этажность)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Организация-застройщик, не исполнившая своих обязательств: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Реквизиты документа, подтверждающего право требования к застройщику,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исполнившему свои обязательства:_____________________________________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Реквизиты  платежных  документов,  подтверждающих  привлечение денежных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 в целях строительства многоквартирного дома: 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во исполнение требований Федерального закона от 27.07.2006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152-ФЗ «О персональных данных» даю согласие на обработку моих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персональных данных. Я уведомлен и понимаю, что под обработкой персональных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данных подразумевается любое действие (операция) или совокупность действий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(операций), совершаемых с использованием средств автоматизации или без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использования таких средств с персональными данными, включая сбор, запись,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извлечение, использование, передачу (распространение, предоставление,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доступ), обезличивание, блокирование, удаление, уничтожение персональных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«____» ____________ 20___ г.                   __________________________ 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передачи жилых помещений в собственность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гражданам, пострадавшим от действий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застройщиков, не исполнивших свои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обязательства по передаче жилых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помещений перед гражданами,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вложившими денежные средства 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строительство многоквартирных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домов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Министру строительства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(адрес, номер контактного телефона)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электронной почты (при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включе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дополнительный список граждан, пострадавших от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действий застройщиков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из числа граждан,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включенных в Реестр граждан и Список, претендующих на поддержку лиц, которые вложили денежные средства в строительство объектов, расположенных на территории Новосибирской области, где не реализуются масштабные инвестиционные проекты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включить в дополнительный список граждан, пострадавших от действий застройщиков,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(фамилия, имя, отчество (при наличии) заявителя,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данные документа, удостоверяющего личность заявителя,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 (при наличии) представителя заявителя,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реквизиты документа, подтверждающего полномочия)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Адрес заявителя: ____________________________________________________________________ 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заявителя: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 долевого строительства: 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(почтовый или строительный)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номер жилого помещения, этажность)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Организация-застройщик, не исполнившая своих обязательств: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Реквизиты документа, подтверждающего право требования к застройщику,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исполнившему свои обязательства:_____________________________________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Реквизиты  платежных  документов,  подтверждающих  привлечение денежных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 в целях строительства многоквартирного дома: 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во исполнение требований Федерального закона от 27.07.2006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152-ФЗ «О персональных данных» даю согласие на обработку моих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персональных данных. Я уведомлен и понимаю, что под обработкой персональных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данных подразумевается любое действие (операция) или совокупность действий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(операций), совершаемых с использованием средств автоматизации или без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использования таких средств с персональными данными, включая сбор, запись,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извлечение, использование, передачу (распространение, предоставление,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доступ), обезличивание, блокирование, удаление, уничтожение персональных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«____» ____________ 20___ г.                   __________________________ 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959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jc w:val="center"/>
        <w:rPr>
          <w:highlight w:val="none"/>
        </w:rPr>
      </w:pPr>
      <w:r>
        <w:t xml:space="preserve">_________________</w:t>
      </w:r>
      <w:r>
        <w:rPr>
          <w:highlight w:val="none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sectPr>
      <w:headerReference w:type="first" r:id="rId9"/>
      <w:footnotePr/>
      <w:endnotePr/>
      <w:type w:val="nextPage"/>
      <w:pgSz w:w="11909" w:h="16838" w:orient="portrait"/>
      <w:pgMar w:top="709" w:right="852" w:bottom="397" w:left="1418" w:header="142" w:footer="6" w:gutter="0"/>
      <w:pgNumType w:start="2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rdiaUPC">
    <w:panose1 w:val="020B0604020202020204"/>
  </w:font>
  <w:font w:name="Gulim">
    <w:panose1 w:val="020B0603020202020204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jc w:val="center"/>
    </w:pPr>
    <w:r/>
    <w:r/>
  </w:p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Courier New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4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347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1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1459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4" w:hanging="180"/>
      </w:pPr>
    </w:lvl>
  </w:abstractNum>
  <w:abstractNum w:abstractNumId="3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0" w:hanging="72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EastAsia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14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8">
    <w:multiLevelType w:val="hybridMultilevel"/>
    <w:lvl w:ilvl="0">
      <w:start w:val="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8"/>
  </w:num>
  <w:num w:numId="5">
    <w:abstractNumId w:val="3"/>
  </w:num>
  <w:num w:numId="6">
    <w:abstractNumId w:val="19"/>
  </w:num>
  <w:num w:numId="7">
    <w:abstractNumId w:val="39"/>
  </w:num>
  <w:num w:numId="8">
    <w:abstractNumId w:val="11"/>
  </w:num>
  <w:num w:numId="9">
    <w:abstractNumId w:val="32"/>
  </w:num>
  <w:num w:numId="10">
    <w:abstractNumId w:val="26"/>
  </w:num>
  <w:num w:numId="11">
    <w:abstractNumId w:val="36"/>
  </w:num>
  <w:num w:numId="12">
    <w:abstractNumId w:val="7"/>
  </w:num>
  <w:num w:numId="13">
    <w:abstractNumId w:val="37"/>
  </w:num>
  <w:num w:numId="14">
    <w:abstractNumId w:val="35"/>
  </w:num>
  <w:num w:numId="15">
    <w:abstractNumId w:val="16"/>
  </w:num>
  <w:num w:numId="16">
    <w:abstractNumId w:val="17"/>
  </w:num>
  <w:num w:numId="17">
    <w:abstractNumId w:val="34"/>
  </w:num>
  <w:num w:numId="18">
    <w:abstractNumId w:val="38"/>
  </w:num>
  <w:num w:numId="19">
    <w:abstractNumId w:val="1"/>
  </w:num>
  <w:num w:numId="20">
    <w:abstractNumId w:val="20"/>
  </w:num>
  <w:num w:numId="21">
    <w:abstractNumId w:val="22"/>
  </w:num>
  <w:num w:numId="22">
    <w:abstractNumId w:val="13"/>
  </w:num>
  <w:num w:numId="23">
    <w:abstractNumId w:val="9"/>
  </w:num>
  <w:num w:numId="24">
    <w:abstractNumId w:val="18"/>
  </w:num>
  <w:num w:numId="25">
    <w:abstractNumId w:val="6"/>
  </w:num>
  <w:num w:numId="26">
    <w:abstractNumId w:val="14"/>
  </w:num>
  <w:num w:numId="27">
    <w:abstractNumId w:val="29"/>
  </w:num>
  <w:num w:numId="28">
    <w:abstractNumId w:val="33"/>
  </w:num>
  <w:num w:numId="29">
    <w:abstractNumId w:val="30"/>
  </w:num>
  <w:num w:numId="30">
    <w:abstractNumId w:val="0"/>
  </w:num>
  <w:num w:numId="31">
    <w:abstractNumId w:val="15"/>
  </w:num>
  <w:num w:numId="32">
    <w:abstractNumId w:val="23"/>
  </w:num>
  <w:num w:numId="33">
    <w:abstractNumId w:val="2"/>
  </w:num>
  <w:num w:numId="34">
    <w:abstractNumId w:val="4"/>
  </w:num>
  <w:num w:numId="35">
    <w:abstractNumId w:val="25"/>
  </w:num>
  <w:num w:numId="36">
    <w:abstractNumId w:val="10"/>
  </w:num>
  <w:num w:numId="37">
    <w:abstractNumId w:val="24"/>
  </w:num>
  <w:num w:numId="38">
    <w:abstractNumId w:val="12"/>
  </w:num>
  <w:num w:numId="39">
    <w:abstractNumId w:val="3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1"/>
    <w:next w:val="921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basedOn w:val="922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1"/>
    <w:next w:val="921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basedOn w:val="922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1"/>
    <w:next w:val="921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basedOn w:val="922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1"/>
    <w:next w:val="921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922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1"/>
    <w:next w:val="921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2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1"/>
    <w:next w:val="921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1"/>
    <w:next w:val="921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2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1"/>
    <w:next w:val="921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2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1"/>
    <w:next w:val="921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2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spacing w:before="0" w:after="0" w:line="240" w:lineRule="auto"/>
    </w:pPr>
  </w:style>
  <w:style w:type="paragraph" w:styleId="767">
    <w:name w:val="Title"/>
    <w:basedOn w:val="921"/>
    <w:next w:val="921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basedOn w:val="922"/>
    <w:link w:val="767"/>
    <w:uiPriority w:val="10"/>
    <w:rPr>
      <w:sz w:val="48"/>
      <w:szCs w:val="48"/>
    </w:rPr>
  </w:style>
  <w:style w:type="paragraph" w:styleId="769">
    <w:name w:val="Subtitle"/>
    <w:basedOn w:val="921"/>
    <w:next w:val="921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basedOn w:val="922"/>
    <w:link w:val="769"/>
    <w:uiPriority w:val="11"/>
    <w:rPr>
      <w:sz w:val="24"/>
      <w:szCs w:val="24"/>
    </w:rPr>
  </w:style>
  <w:style w:type="paragraph" w:styleId="771">
    <w:name w:val="Quote"/>
    <w:basedOn w:val="921"/>
    <w:next w:val="921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1"/>
    <w:next w:val="921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character" w:styleId="775">
    <w:name w:val="Header Char"/>
    <w:basedOn w:val="922"/>
    <w:link w:val="961"/>
    <w:uiPriority w:val="99"/>
  </w:style>
  <w:style w:type="character" w:styleId="776">
    <w:name w:val="Footer Char"/>
    <w:basedOn w:val="922"/>
    <w:link w:val="963"/>
    <w:uiPriority w:val="99"/>
  </w:style>
  <w:style w:type="paragraph" w:styleId="777">
    <w:name w:val="Caption"/>
    <w:basedOn w:val="921"/>
    <w:next w:val="9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777"/>
    <w:link w:val="963"/>
    <w:uiPriority w:val="99"/>
  </w:style>
  <w:style w:type="table" w:styleId="779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2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2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rPr>
      <w:color w:val="000000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character" w:styleId="925">
    <w:name w:val="Hyperlink"/>
    <w:basedOn w:val="922"/>
    <w:rPr>
      <w:color w:val="0066cc"/>
      <w:u w:val="single"/>
    </w:rPr>
  </w:style>
  <w:style w:type="character" w:styleId="926" w:customStyle="1">
    <w:name w:val="Основной текст Exact"/>
    <w:basedOn w:val="9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styleId="927" w:customStyle="1">
    <w:name w:val="Основной текст_"/>
    <w:basedOn w:val="922"/>
    <w:link w:val="94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styleId="928" w:customStyle="1">
    <w:name w:val="Заголовок №1_"/>
    <w:basedOn w:val="922"/>
    <w:link w:val="94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styleId="929" w:customStyle="1">
    <w:name w:val="Основной текст (2)_"/>
    <w:basedOn w:val="922"/>
    <w:link w:val="950"/>
    <w:rPr>
      <w:rFonts w:ascii="Calibri" w:hAnsi="Calibri" w:eastAsia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styleId="930" w:customStyle="1">
    <w:name w:val="Основной текст (2) + Times New Roman;10;5 pt;Не полужирный;Не курсив;Интервал 1 pt"/>
    <w:basedOn w:val="929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20"/>
      <w:position w:val="0"/>
      <w:sz w:val="21"/>
      <w:szCs w:val="21"/>
      <w:u w:val="none"/>
      <w:lang w:val="ru-RU" w:eastAsia="ru-RU" w:bidi="ru-RU"/>
    </w:rPr>
  </w:style>
  <w:style w:type="character" w:styleId="931" w:customStyle="1">
    <w:name w:val="Основной текст (3)_"/>
    <w:basedOn w:val="922"/>
    <w:link w:val="95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styleId="932" w:customStyle="1">
    <w:name w:val="Основной текст (3) + Не курсив"/>
    <w:basedOn w:val="93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933" w:customStyle="1">
    <w:name w:val="Основной текст + Интервал 3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lang w:val="ru-RU" w:eastAsia="ru-RU" w:bidi="ru-RU"/>
    </w:rPr>
  </w:style>
  <w:style w:type="character" w:styleId="934" w:customStyle="1">
    <w:name w:val="Основной текст + Интервал 0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935" w:customStyle="1">
    <w:name w:val="Основной текст + 10;5 pt;Интервал 0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36" w:customStyle="1">
    <w:name w:val="Основной текст + 10;5 pt;Полужирный;Курсив;Интервал 0 pt"/>
    <w:basedOn w:val="927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-10"/>
      <w:position w:val="0"/>
      <w:sz w:val="21"/>
      <w:szCs w:val="21"/>
      <w:u w:val="single"/>
      <w:lang w:val="en-US" w:eastAsia="en-US" w:bidi="en-US"/>
    </w:rPr>
  </w:style>
  <w:style w:type="character" w:styleId="937" w:customStyle="1">
    <w:name w:val="Основной текст + 10;5 pt;Полужирный;Курсив;Интервал 0 pt"/>
    <w:basedOn w:val="927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-10"/>
      <w:position w:val="0"/>
      <w:sz w:val="21"/>
      <w:szCs w:val="21"/>
      <w:u w:val="none"/>
      <w:lang w:val="ru-RU" w:eastAsia="ru-RU" w:bidi="ru-RU"/>
    </w:rPr>
  </w:style>
  <w:style w:type="character" w:styleId="938" w:customStyle="1">
    <w:name w:val="Основной текст (4)_"/>
    <w:basedOn w:val="922"/>
    <w:link w:val="95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styleId="939" w:customStyle="1">
    <w:name w:val="Основной текст (4) + Интервал 4 pt"/>
    <w:basedOn w:val="93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80"/>
      <w:position w:val="0"/>
      <w:sz w:val="23"/>
      <w:szCs w:val="23"/>
      <w:u w:val="none"/>
      <w:lang w:val="ru-RU" w:eastAsia="ru-RU" w:bidi="ru-RU"/>
    </w:rPr>
  </w:style>
  <w:style w:type="character" w:styleId="940" w:customStyle="1">
    <w:name w:val="Основной текст (4) + Не полужирный;Интервал 0 pt"/>
    <w:basedOn w:val="93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1" w:customStyle="1">
    <w:name w:val="Основной текст + 10;5 pt;Интервал 0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42" w:customStyle="1">
    <w:name w:val="Основной текст + 11;5 pt;Полужирный"/>
    <w:basedOn w:val="92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10"/>
      <w:position w:val="0"/>
      <w:sz w:val="23"/>
      <w:szCs w:val="23"/>
      <w:u w:val="none"/>
      <w:lang w:val="ru-RU" w:eastAsia="ru-RU" w:bidi="ru-RU"/>
    </w:rPr>
  </w:style>
  <w:style w:type="character" w:styleId="943" w:customStyle="1">
    <w:name w:val="Основной текст + Gulim;10;5 pt;Интервал 0 pt"/>
    <w:basedOn w:val="927"/>
    <w:rPr>
      <w:rFonts w:ascii="Gulim" w:hAnsi="Gulim" w:eastAsia="Gulim" w:cs="Gulim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44" w:customStyle="1">
    <w:name w:val="Основной текст + CordiaUPC;16 pt;Интервал 0 pt"/>
    <w:basedOn w:val="927"/>
    <w:rPr>
      <w:rFonts w:ascii="CordiaUPC" w:hAnsi="CordiaUPC" w:eastAsia="CordiaUPC" w:cs="CordiaUPC"/>
      <w:b w:val="0"/>
      <w:bCs w:val="0"/>
      <w:i w:val="0"/>
      <w:iCs w:val="0"/>
      <w:smallCaps w:val="0"/>
      <w:strike w:val="0"/>
      <w:color w:val="000000"/>
      <w:spacing w:val="0"/>
      <w:position w:val="0"/>
      <w:sz w:val="32"/>
      <w:szCs w:val="32"/>
      <w:u w:val="none"/>
      <w:lang w:val="ru-RU" w:eastAsia="ru-RU" w:bidi="ru-RU"/>
    </w:rPr>
  </w:style>
  <w:style w:type="character" w:styleId="945" w:customStyle="1">
    <w:name w:val="Подпись к таблице_"/>
    <w:basedOn w:val="922"/>
    <w:link w:val="953"/>
    <w:rPr>
      <w:rFonts w:ascii="Gulim" w:hAnsi="Gulim" w:eastAsia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styleId="946" w:customStyle="1">
    <w:name w:val="Основной текст (4) + 10;5 pt;Не полужирный;Интервал 0 pt"/>
    <w:basedOn w:val="93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47" w:customStyle="1">
    <w:name w:val="Основной текст (4) + 10 pt;Не полужирный;Интервал 0 pt"/>
    <w:basedOn w:val="93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paragraph" w:styleId="948" w:customStyle="1">
    <w:name w:val="Основной текст1"/>
    <w:basedOn w:val="921"/>
    <w:link w:val="927"/>
    <w:pPr>
      <w:spacing w:before="240" w:line="0" w:lineRule="atLeast"/>
      <w:shd w:val="clear" w:color="auto" w:fill="ffffff"/>
    </w:pPr>
    <w:rPr>
      <w:rFonts w:ascii="Times New Roman" w:hAnsi="Times New Roman" w:eastAsia="Times New Roman" w:cs="Times New Roman"/>
      <w:spacing w:val="10"/>
    </w:rPr>
  </w:style>
  <w:style w:type="paragraph" w:styleId="949" w:customStyle="1">
    <w:name w:val="Заголовок №1"/>
    <w:basedOn w:val="921"/>
    <w:link w:val="928"/>
    <w:pPr>
      <w:jc w:val="center"/>
      <w:spacing w:before="120" w:after="14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pacing w:val="20"/>
      <w:sz w:val="30"/>
      <w:szCs w:val="30"/>
    </w:rPr>
  </w:style>
  <w:style w:type="paragraph" w:styleId="950" w:customStyle="1">
    <w:name w:val="Основной текст (2)"/>
    <w:basedOn w:val="921"/>
    <w:link w:val="929"/>
    <w:pPr>
      <w:spacing w:before="1440" w:line="0" w:lineRule="atLeast"/>
      <w:shd w:val="clear" w:color="auto" w:fill="ffffff"/>
    </w:pPr>
    <w:rPr>
      <w:rFonts w:ascii="Calibri" w:hAnsi="Calibri" w:eastAsia="Calibri" w:cs="Calibri"/>
      <w:b/>
      <w:bCs/>
      <w:i/>
      <w:iCs/>
      <w:spacing w:val="-10"/>
      <w:sz w:val="32"/>
      <w:szCs w:val="32"/>
    </w:rPr>
  </w:style>
  <w:style w:type="paragraph" w:styleId="951" w:customStyle="1">
    <w:name w:val="Основной текст (3)"/>
    <w:basedOn w:val="921"/>
    <w:link w:val="931"/>
    <w:pPr>
      <w:spacing w:before="420" w:after="1080" w:line="269" w:lineRule="exact"/>
      <w:shd w:val="clear" w:color="auto" w:fill="ffffff"/>
    </w:pPr>
    <w:rPr>
      <w:rFonts w:ascii="Times New Roman" w:hAnsi="Times New Roman" w:eastAsia="Times New Roman" w:cs="Times New Roman"/>
      <w:i/>
      <w:iCs/>
      <w:sz w:val="22"/>
      <w:szCs w:val="22"/>
    </w:rPr>
  </w:style>
  <w:style w:type="paragraph" w:styleId="952" w:customStyle="1">
    <w:name w:val="Основной текст (4)"/>
    <w:basedOn w:val="921"/>
    <w:link w:val="938"/>
    <w:pPr>
      <w:jc w:val="center"/>
      <w:spacing w:before="540" w:after="960" w:line="298" w:lineRule="exact"/>
      <w:shd w:val="clear" w:color="auto" w:fill="ffffff"/>
    </w:pPr>
    <w:rPr>
      <w:rFonts w:ascii="Times New Roman" w:hAnsi="Times New Roman" w:eastAsia="Times New Roman" w:cs="Times New Roman"/>
      <w:b/>
      <w:bCs/>
      <w:spacing w:val="10"/>
      <w:sz w:val="23"/>
      <w:szCs w:val="23"/>
    </w:rPr>
  </w:style>
  <w:style w:type="paragraph" w:styleId="953" w:customStyle="1">
    <w:name w:val="Подпись к таблице"/>
    <w:basedOn w:val="921"/>
    <w:link w:val="945"/>
    <w:pPr>
      <w:spacing w:line="0" w:lineRule="atLeast"/>
      <w:shd w:val="clear" w:color="auto" w:fill="ffffff"/>
    </w:pPr>
    <w:rPr>
      <w:rFonts w:ascii="Gulim" w:hAnsi="Gulim" w:eastAsia="Gulim" w:cs="Gulim"/>
      <w:sz w:val="12"/>
      <w:szCs w:val="12"/>
    </w:rPr>
  </w:style>
  <w:style w:type="paragraph" w:styleId="954">
    <w:name w:val="Balloon Text"/>
    <w:basedOn w:val="921"/>
    <w:link w:val="955"/>
    <w:uiPriority w:val="99"/>
    <w:semiHidden/>
    <w:unhideWhenUsed/>
    <w:rPr>
      <w:rFonts w:ascii="Tahoma" w:hAnsi="Tahoma" w:cs="Tahoma"/>
      <w:sz w:val="16"/>
      <w:szCs w:val="16"/>
    </w:rPr>
  </w:style>
  <w:style w:type="character" w:styleId="955" w:customStyle="1">
    <w:name w:val="Текст выноски Знак"/>
    <w:basedOn w:val="922"/>
    <w:link w:val="954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956">
    <w:name w:val="List Paragraph"/>
    <w:basedOn w:val="921"/>
    <w:uiPriority w:val="34"/>
    <w:qFormat/>
    <w:pPr>
      <w:contextualSpacing/>
      <w:ind w:left="720"/>
    </w:pPr>
  </w:style>
  <w:style w:type="table" w:styleId="957">
    <w:name w:val="Table Grid"/>
    <w:basedOn w:val="9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8" w:customStyle="1">
    <w:name w:val="Сетка таблицы1"/>
    <w:basedOn w:val="923"/>
    <w:next w:val="957"/>
    <w:uiPriority w:val="59"/>
    <w:pPr>
      <w:widowControl/>
    </w:pPr>
    <w:rPr>
      <w:rFonts w:ascii="Times New Roman" w:hAnsi="Times New Roman" w:eastAsia="Times New Roman" w:cs="Times New Roman"/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9" w:customStyle="1">
    <w:name w:val="ConsPlusNormal"/>
    <w:rPr>
      <w:rFonts w:ascii="Arial" w:hAnsi="Arial" w:cs="Arial" w:eastAsiaTheme="minorEastAsia"/>
      <w:sz w:val="20"/>
      <w:szCs w:val="20"/>
      <w:lang w:bidi="ar-SA"/>
    </w:rPr>
  </w:style>
  <w:style w:type="paragraph" w:styleId="960" w:customStyle="1">
    <w:name w:val="ConsPlusTitle"/>
    <w:uiPriority w:val="99"/>
    <w:rPr>
      <w:rFonts w:ascii="Arial" w:hAnsi="Arial" w:cs="Arial" w:eastAsiaTheme="minorEastAsia"/>
      <w:b/>
      <w:bCs/>
      <w:sz w:val="20"/>
      <w:szCs w:val="20"/>
      <w:lang w:bidi="ar-SA"/>
    </w:rPr>
  </w:style>
  <w:style w:type="paragraph" w:styleId="961">
    <w:name w:val="Header"/>
    <w:basedOn w:val="921"/>
    <w:link w:val="9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2" w:customStyle="1">
    <w:name w:val="Верхний колонтитул Знак"/>
    <w:basedOn w:val="922"/>
    <w:link w:val="961"/>
    <w:uiPriority w:val="99"/>
    <w:rPr>
      <w:color w:val="000000"/>
    </w:rPr>
  </w:style>
  <w:style w:type="paragraph" w:styleId="963">
    <w:name w:val="Footer"/>
    <w:basedOn w:val="921"/>
    <w:link w:val="9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4" w:customStyle="1">
    <w:name w:val="Нижний колонтитул Знак"/>
    <w:basedOn w:val="922"/>
    <w:link w:val="963"/>
    <w:uiPriority w:val="99"/>
    <w:rPr>
      <w:color w:val="000000"/>
    </w:rPr>
  </w:style>
  <w:style w:type="character" w:styleId="965" w:customStyle="1">
    <w:name w:val="Основной текст + 10 pt;Интервал 0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0"/>
      <w:szCs w:val="20"/>
      <w:u w:val="none"/>
      <w:lang w:val="ru-RU" w:eastAsia="ru-RU" w:bidi="ru-RU"/>
    </w:rPr>
  </w:style>
  <w:style w:type="character" w:styleId="966" w:customStyle="1">
    <w:name w:val="Основной текст + 9 pt;Не полужирный;Интервал 0 pt"/>
    <w:basedOn w:val="92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styleId="967" w:customStyle="1">
    <w:name w:val="Основной текст + Arial Narrow;7 pt;Интервал 0 pt"/>
    <w:basedOn w:val="927"/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lang w:val="ru-RU" w:eastAsia="ru-RU" w:bidi="ru-RU"/>
    </w:rPr>
  </w:style>
  <w:style w:type="character" w:styleId="968">
    <w:name w:val="Strong"/>
    <w:basedOn w:val="92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049&amp;n=166121&amp;dst=100011" TargetMode="External"/><Relationship Id="rId13" Type="http://schemas.openxmlformats.org/officeDocument/2006/relationships/hyperlink" Target="https://login.consultant.ru/link/?req=doc&amp;base=RLAW049&amp;n=146221&amp;dst=100058" TargetMode="External"/><Relationship Id="rId14" Type="http://schemas.openxmlformats.org/officeDocument/2006/relationships/hyperlink" Target="file:///opt/r7-office/desktopeditors/editors/web-apps/apps/documenteditor/main/index.html?_dc=0&amp;lang=ru-RU&amp;frameEditorId=placeholder&amp;parentOrigin=file://#Par35" TargetMode="External"/><Relationship Id="rId15" Type="http://schemas.openxmlformats.org/officeDocument/2006/relationships/hyperlink" Target="https://login.consultant.ru/link/?req=doc&amp;base=RLAW049&amp;n=166121&amp;dst=100059" TargetMode="External"/><Relationship Id="rId16" Type="http://schemas.openxmlformats.org/officeDocument/2006/relationships/hyperlink" Target="https://login.consultant.ru/link/?req=doc&amp;base=RLAW049&amp;n=146221&amp;dst=100058" TargetMode="External"/><Relationship Id="rId17" Type="http://schemas.openxmlformats.org/officeDocument/2006/relationships/hyperlink" Target="https://login.consultant.ru/link/?req=doc&amp;base=LAW&amp;n=454238" TargetMode="External"/><Relationship Id="rId18" Type="http://schemas.openxmlformats.org/officeDocument/2006/relationships/hyperlink" Target="https://login.consultant.ru/link/?req=doc&amp;base=RLAW049&amp;n=166121&amp;dst=100011" TargetMode="External"/><Relationship Id="rId19" Type="http://schemas.openxmlformats.org/officeDocument/2006/relationships/hyperlink" Target="file:///opt/r7-office/desktopeditors/editors/web-apps/apps/documenteditor/main/index.html?_dc=0&amp;lang=ru-RU&amp;frameEditorId=placeholder&amp;parentOrigin=file://#Par144" TargetMode="External"/><Relationship Id="rId20" Type="http://schemas.openxmlformats.org/officeDocument/2006/relationships/hyperlink" Target="https://login.consultant.ru/link/?req=doc&amp;base=RLAW049&amp;n=166121&amp;dst=100062" TargetMode="External"/><Relationship Id="rId21" Type="http://schemas.openxmlformats.org/officeDocument/2006/relationships/hyperlink" Target="https://login.consultant.ru/link/?req=doc&amp;base=RLAW049&amp;n=166121&amp;dst=100057" TargetMode="External"/><Relationship Id="rId22" Type="http://schemas.openxmlformats.org/officeDocument/2006/relationships/hyperlink" Target="file:///opt/r7-office/desktopeditors/editors/web-apps/apps/documenteditor/main/index.html?_dc=0&amp;lang=ru-RU&amp;frameEditorId=placeholder&amp;parentOrigin=file://#Par208" TargetMode="External"/><Relationship Id="rId23" Type="http://schemas.openxmlformats.org/officeDocument/2006/relationships/hyperlink" Target="https://login.consultant.ru/link/?req=doc&amp;base=RLAW049&amp;n=173159&amp;dst=100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CC3FC8-4213-4AAD-B712-04F531A4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revision>8</cp:revision>
  <dcterms:created xsi:type="dcterms:W3CDTF">2024-02-05T03:37:00Z</dcterms:created>
  <dcterms:modified xsi:type="dcterms:W3CDTF">2024-07-03T10:58:22Z</dcterms:modified>
</cp:coreProperties>
</file>