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13"/>
        <w:tblW w:w="10173" w:type="dxa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00" w:firstRow="0" w:lastRow="0" w:firstColumn="0" w:lastColumn="0" w:noHBand="0" w:noVBand="1"/>
      </w:tblPr>
      <w:tblGrid>
        <w:gridCol w:w="5636"/>
        <w:gridCol w:w="4536"/>
      </w:tblGrid>
      <w:tr>
        <w:trPr/>
        <w:tc>
          <w:tcPr>
            <w:tcW w:w="5636" w:type="dxa"/>
            <w:textDirection w:val="lrTb"/>
            <w:noWrap w:val="false"/>
          </w:tcPr>
          <w:p>
            <w:pPr>
              <w:pStyle w:val="914"/>
              <w:ind w:firstLine="709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14"/>
              <w:ind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ПРИЛОЖЕНИЕ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14"/>
              <w:ind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к постановлению Правительства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14"/>
              <w:ind w:firstLine="28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  <w:t xml:space="preserve">Соглашение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г. Новосибирск                                                        «_____» ______________ 20____г.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_________________________, именуем___ в дальнейшем «Заказчик», в лице _______________________, действующ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 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__ на основании ___________________, с одной стороны, и ___________________________, именуем___ в дальнейшем «Получатель», в лице ______________________, действующ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___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основании _____________________, с другой стороны, вместе именуемые «Стороны»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каждый 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отдельности «Сторона», в соответствии со статьей 420,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частью 2 статьи 423 Гражданского кодекса Российской Федерации, во исполнение распоряжения Правительства Новосибирской области от «___» _______ 20___г. № __________ (далее – Распоряжение) заключили настоящее Соглашение (далее – Соглашение) о нижеследующем: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color w:val="000000" w:themeColor="text1"/>
          <w:highlight w:val="none"/>
          <w:u w:val="none"/>
        </w:rPr>
      </w:r>
      <w:bookmarkStart w:id="0" w:name="_GoBack"/>
      <w:r>
        <w:rPr>
          <w:color w:val="000000" w:themeColor="text1"/>
          <w:highlight w:val="none"/>
          <w:u w:val="none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  <w:t xml:space="preserve">1. Предмет Соглашения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1.1. Настоящее Соглашение определяет условия осуществления Заказчиком юридических и иных значимых действий,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направлены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хна проведение во исполнение Распоряжения, в соответствии со статьей 111.4 Федерального закона № 44-ФЗ</w:t>
      </w:r>
      <w:r>
        <w:rPr>
          <w:rStyle w:val="890"/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footnoteReference w:id="2"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электронного конкурса,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заключение и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сполнение контракта со встречными инвестиционными обязательствами (далее соответственно - электронный конкурс, офсетный контракт), от имени Заказчика, в интересах и за счет средств Получателя, с целью поставки Получателю товара, указанного в Приложении № 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к настоящему Соглашению (далее - Товар), являющегося его неотъемлемой частью; порядок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взаимодействия Заказчика и Получателя, в том числе порядок направления Получателем Заказчику средств в качестве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оплаты Заказчиком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Товара, являющегося объектом поставки по офсетному контракту, при исполнении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офсетного контракта.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1.2. В приложении № 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определяются наименование Товара, требования к характеристикам Товара, минимальное количество Товара, потребность в поставке которого установлена Получателем на весь срок действия офсетного контракта с разбивкой по годам, расчет цены за единицу Товара.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Условия об объеме Товара, подлежащего поставке Получателю, о его цене за единицу подлежат корректировке в порядке и при условиях, установленных Федеральным законом № 44-ФЗ, офсетным контрактом.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  <w:t xml:space="preserve">2. Условия осуществления Заказчиком юридических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  <w:t xml:space="preserve">и иных значимых действий, входящих в предмет Соглашения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color w:val="000000" w:themeColor="text1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2.1. Заказчик, действуя в интересах Получателя, осуществляет юридические и иные значимые действия, направленные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проведение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электронного конкурса,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заключение 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исполнение офсетного контракта в порядке и на условиях, установленных Распоряжением, Федеральным законом № 44-ФЗ, офсетным контрактом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настоящим Соглашением, в том числе совершает необходимые действия, обеспечивающие поставку Товара в определенном Соглашением объеме Получателю в срок и порядке, установленные офсетным контрактом. </w:t>
      </w:r>
      <w:r>
        <w:rPr>
          <w:color w:val="000000" w:themeColor="text1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2.2. 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Заказчик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выполня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т условия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на безвозмездной основе.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t xml:space="preserve">3. Порядок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t xml:space="preserve">взаимодействия Заказчика и Получателя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3.1. Получатель осуществляет фактическую приемку Товара в порядке, установленном офсетным контрактом.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По решению Заказчика при приемке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Получатель в порядке и при условиях, установленных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законом № 44-ФЗ, проводит экспертизу посту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пившего Товара, включая осмотр и проверку Товара на соответствие условиям по количеству, качеству, другим характеристикам Товара согласно описанию и техническим требованиям, указанным в офсетном контракте. По результатам экспертизы составляется заключение.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По результатам приемки Товара Получатель составляет и подписывает с поставщиком по офсетному контракту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универсальный передаточный документ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форме согласно приложению № 2 к Соглашению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В течение ____ календарных дней со дня подписания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универсального передаточного 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Получатель направляет Заказчику скан-копии заключения по итогам экспертизы, подписанного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универсального передаточного 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, сопроводительных документов на товар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посредством электронной почты на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___.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3.2. В течение ____ календарных дней со дня подписания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универсального передаточного документа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, указанного в пункте 3.1 Соглашения, Получатель перечисляет средства, указанные в пункте 1.1 Соглашения, за поставленный ему Товар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на лицевой счет, предназначенный для отражения операций, связанных с администрированием доходов бюджетов бюджетной системы Российской Федерации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по реквизитам, указанным в пункте 8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), открытый Заказчику.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3.3. Заказчик осуществляет приемку Товара по офсетному контракту, составляет и подписывает с поставщиком по офсетному контракту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документ о приемке Товара в порядке, установленном требованиями Федерального закона № 44-ФЗ, на основании актов приема-передачи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 после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на лицевой счет, указанный в пункте 3.2 Соглашения,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средств за поставленный Товар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3.4. 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Заказ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чик осуществляет перечисление средств поставщику по офсетному контракту за поставленный Получателю Товар в срок, установленный частью 13.1 статьи 34 Федерального закона № 44-ФЗ, после подписания документа о приемке Товара, указанный в пункте 3.3Соглашения.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3.5. Заказчик осуществляет передачу Товара Получателю с соблюдением требований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, в порядке и на условиях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, установленных Законом Новосибирской области № 271-ОЗ</w:t>
      </w:r>
      <w:r>
        <w:rPr>
          <w:rStyle w:val="890"/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footnoteReference w:id="3"/>
      </w:r>
      <w:r>
        <w:rPr>
          <w:rStyle w:val="890"/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  <w:t xml:space="preserve">, на основании акта о приеме-передаче объектов нефинансовых </w:t>
      </w:r>
      <w:r>
        <w:rPr>
          <w:rStyle w:val="890"/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  <w:t xml:space="preserve">активов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(по форме, установленной </w:t>
      </w:r>
      <w:r>
        <w:rPr>
          <w:rStyle w:val="890"/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  <w:t xml:space="preserve">Министерством финансов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)</w:t>
      </w:r>
      <w:r>
        <w:rPr>
          <w:rStyle w:val="890"/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  <w:vertAlign w:val="baseline"/>
        </w:rPr>
        <w:t xml:space="preserve">, передаточного акта.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3.6. В рамках осуществления возложенных на них Соглашением полномочий Заказчик и Получатель осуществляют постановку на учет бюджетных и денежных обязательств в порядке, установленном уполномоченным финансовым органом.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3.7. Заказчик размещает информацию об исполнении оф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сетного контракта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в реестре контрактов, заключенных заказчиками, в срок, установленный Федеральным законом № 44-ФЗ; осуществляет иные действия, установленные гражданским законодательством Российской Федерации и Федеральным законом № 44-ФЗ по исполнению офсетного контракта.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3.8. В срок не позднее 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Заказчиком и Получателем производится сверка движения средств, указанных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в пункте 1.1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Соглашения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и объемов поставленного Товара в рамках Соглашения, по итогам которой составляется акт, подписываемый обеими сторонами. Акты сверок хранятся у Сторон на протяжении всего срока действия обязательств, возникающих в связи с исполнением Соглашения.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t xml:space="preserve">4. Ответственность Сторон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4.1. За нарушение либо ненадлежащее исполнение обязательств по Соглашению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4.2. За составление заведомо ложного заключения по результатам экспертизы,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установленной пунктом 3.1 Соглашения Получатель несет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  <w:t xml:space="preserve">5. Срок действия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5. Соглашение вступает в силу с момента его подписания и действует до полного исполнения Сторонами своих обязательств по настоящему Соглашению.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  <w:t xml:space="preserve">6. Порядок внесения изменений в Соглашение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6. Стороны им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еют право вносить изменения в настоящее Соглашение или прекращать его действие в порядке, предусмотренном законодательством Российской Федерации. Все изменения и дополнения к настоящему Соглашению оформляются дополнительным соглашением в письменной форме.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  <w:t xml:space="preserve">7. Заключительные положения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7.1. Все споры и разногласия, возникшие между Сторонами в связи с исполнением, изменением или расторжением Соглашения решаются путем переговоров.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7.2. В случае недостижения взаимного согласия все споры по Соглашению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разрешаются в Арбитражном суде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t xml:space="preserve">7.3. Настоящее Соглашение составлено в двух экземплярах, имеющих равную юридическую силу. Экземпляры настоящего Соглашения находятся у Заказчика, Получателя.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u w:val="none"/>
        </w:rPr>
        <w:t xml:space="preserve">8. Реквизиты Сторон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pStyle w:val="90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  <w:outlineLvl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tbl>
      <w:tblPr>
        <w:tblW w:w="9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>
        <w:trPr/>
        <w:tc>
          <w:tcPr>
            <w:tcW w:w="5024" w:type="dxa"/>
            <w:textDirection w:val="lrTb"/>
            <w:noWrap/>
          </w:tcPr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Получатель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</w:tc>
      </w:tr>
      <w:tr>
        <w:trPr/>
        <w:tc>
          <w:tcPr>
            <w:tcW w:w="5024" w:type="dxa"/>
            <w:textDirection w:val="lrTb"/>
            <w:noWrap/>
          </w:tcPr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(наименование)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(наименование)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</w:tc>
      </w:tr>
      <w:tr>
        <w:trPr/>
        <w:tc>
          <w:tcPr>
            <w:tcW w:w="5024" w:type="dxa"/>
            <w:textDirection w:val="lrTb"/>
            <w:noWrap/>
          </w:tcPr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Местонахождение: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Местонахождение: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</w:tc>
      </w:tr>
      <w:tr>
        <w:trPr/>
        <w:tc>
          <w:tcPr>
            <w:tcW w:w="5024" w:type="dxa"/>
            <w:textDirection w:val="lrTb"/>
            <w:noWrap/>
          </w:tcPr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Реквизиты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Реквизиты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  <w:p>
            <w:pPr>
              <w:pStyle w:val="9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  <w:t xml:space="preserve">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  <w:u w:val="none"/>
              </w:rPr>
            </w:r>
          </w:p>
        </w:tc>
      </w:tr>
    </w:tbl>
    <w:p>
      <w:pPr>
        <w:pStyle w:val="90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Serif">
    <w:panose1 w:val="02020603050405020304"/>
  </w:font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  <w:r>
      <w:rPr>
        <w:rFonts w:ascii="Times New Roman" w:hAnsi="Times New Roman" w:cs="Times New Roman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88"/>
        <w:jc w:val="both"/>
        <w:spacing w:after="17"/>
        <w:rPr>
          <w:rFonts w:ascii="Times New Roman" w:hAnsi="Times New Roman" w:cs="Times New Roman"/>
          <w:sz w:val="20"/>
          <w:szCs w:val="20"/>
        </w:rPr>
      </w:pPr>
      <w:r>
        <w:rPr>
          <w:rStyle w:val="89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Федеральный закон от 05.04.2013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id="3">
    <w:p>
      <w:pPr>
        <w:pStyle w:val="888"/>
        <w:jc w:val="both"/>
        <w:spacing w:after="85"/>
        <w:rPr>
          <w:rFonts w:ascii="Times New Roman" w:hAnsi="Times New Roman" w:cs="Times New Roman"/>
          <w:sz w:val="20"/>
          <w:szCs w:val="20"/>
        </w:rPr>
      </w:pPr>
      <w:r>
        <w:rPr>
          <w:rStyle w:val="890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Закон Новосибирской области от 06.07.2018 № 271–ОЗ «Об управлении и распоряжении государственной собственностью Новосибирской области»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 w:default="1">
    <w:name w:val="Normal"/>
    <w:qFormat/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Title Char"/>
    <w:basedOn w:val="720"/>
    <w:link w:val="748"/>
    <w:uiPriority w:val="10"/>
    <w:rPr>
      <w:sz w:val="48"/>
      <w:szCs w:val="48"/>
    </w:rPr>
  </w:style>
  <w:style w:type="character" w:styleId="724" w:customStyle="1">
    <w:name w:val="Subtitle Char"/>
    <w:basedOn w:val="720"/>
    <w:link w:val="750"/>
    <w:uiPriority w:val="11"/>
    <w:rPr>
      <w:sz w:val="24"/>
      <w:szCs w:val="24"/>
    </w:rPr>
  </w:style>
  <w:style w:type="character" w:styleId="725" w:customStyle="1">
    <w:name w:val="Quote Char"/>
    <w:link w:val="752"/>
    <w:uiPriority w:val="29"/>
    <w:rPr>
      <w:i/>
    </w:rPr>
  </w:style>
  <w:style w:type="character" w:styleId="726" w:customStyle="1">
    <w:name w:val="Intense Quote Char"/>
    <w:link w:val="754"/>
    <w:uiPriority w:val="30"/>
    <w:rPr>
      <w:i/>
    </w:rPr>
  </w:style>
  <w:style w:type="character" w:styleId="727" w:customStyle="1">
    <w:name w:val="Footnote Text Char"/>
    <w:link w:val="888"/>
    <w:uiPriority w:val="99"/>
    <w:rPr>
      <w:sz w:val="18"/>
    </w:rPr>
  </w:style>
  <w:style w:type="character" w:styleId="728" w:customStyle="1">
    <w:name w:val="Endnote Text Char"/>
    <w:link w:val="891"/>
    <w:uiPriority w:val="99"/>
    <w:rPr>
      <w:sz w:val="20"/>
    </w:rPr>
  </w:style>
  <w:style w:type="paragraph" w:styleId="729" w:customStyle="1">
    <w:name w:val="Heading 1"/>
    <w:basedOn w:val="719"/>
    <w:next w:val="719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0"/>
    <w:link w:val="729"/>
    <w:uiPriority w:val="9"/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19"/>
    <w:next w:val="719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0"/>
    <w:link w:val="731"/>
    <w:uiPriority w:val="9"/>
    <w:rPr>
      <w:rFonts w:ascii="Arial" w:hAnsi="Arial" w:eastAsia="Arial" w:cs="Arial"/>
      <w:sz w:val="34"/>
    </w:rPr>
  </w:style>
  <w:style w:type="paragraph" w:styleId="733" w:customStyle="1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0"/>
    <w:link w:val="733"/>
    <w:uiPriority w:val="9"/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0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0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40" w:customStyle="1">
    <w:name w:val="Heading 6 Char"/>
    <w:basedOn w:val="720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19"/>
    <w:next w:val="719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42" w:customStyle="1">
    <w:name w:val="Heading 7 Char"/>
    <w:basedOn w:val="720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19"/>
    <w:next w:val="719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44" w:customStyle="1">
    <w:name w:val="Heading 8 Char"/>
    <w:basedOn w:val="720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19"/>
    <w:next w:val="719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0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No Spacing"/>
    <w:uiPriority w:val="1"/>
    <w:qFormat/>
    <w:pPr>
      <w:spacing w:after="0" w:line="240" w:lineRule="auto"/>
    </w:pPr>
  </w:style>
  <w:style w:type="paragraph" w:styleId="748">
    <w:name w:val="Title"/>
    <w:basedOn w:val="719"/>
    <w:next w:val="719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Название Знак"/>
    <w:basedOn w:val="720"/>
    <w:link w:val="748"/>
    <w:uiPriority w:val="10"/>
    <w:rPr>
      <w:sz w:val="48"/>
      <w:szCs w:val="48"/>
    </w:rPr>
  </w:style>
  <w:style w:type="paragraph" w:styleId="750">
    <w:name w:val="Subtitle"/>
    <w:basedOn w:val="719"/>
    <w:next w:val="719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Подзаголовок Знак"/>
    <w:basedOn w:val="720"/>
    <w:link w:val="750"/>
    <w:uiPriority w:val="11"/>
    <w:rPr>
      <w:sz w:val="24"/>
      <w:szCs w:val="24"/>
    </w:rPr>
  </w:style>
  <w:style w:type="paragraph" w:styleId="752">
    <w:name w:val="Quote"/>
    <w:basedOn w:val="719"/>
    <w:next w:val="719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19"/>
    <w:next w:val="719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 w:customStyle="1">
    <w:name w:val="Header"/>
    <w:basedOn w:val="719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 w:customStyle="1">
    <w:name w:val="Header Char"/>
    <w:basedOn w:val="720"/>
    <w:link w:val="756"/>
    <w:uiPriority w:val="99"/>
  </w:style>
  <w:style w:type="paragraph" w:styleId="758" w:customStyle="1">
    <w:name w:val="Footer"/>
    <w:basedOn w:val="719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 w:customStyle="1">
    <w:name w:val="Footer Char"/>
    <w:basedOn w:val="720"/>
    <w:link w:val="758"/>
    <w:uiPriority w:val="99"/>
  </w:style>
  <w:style w:type="paragraph" w:styleId="760" w:customStyle="1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1" w:customStyle="1">
    <w:name w:val="Caption Char"/>
    <w:link w:val="758"/>
    <w:uiPriority w:val="99"/>
  </w:style>
  <w:style w:type="table" w:styleId="762">
    <w:name w:val="Table Grid"/>
    <w:basedOn w:val="7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 w:customStyle="1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2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3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4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5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6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7" w:customStyle="1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6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7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8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9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0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2" w:customStyle="1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5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6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7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8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9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0" w:customStyle="1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3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4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5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6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7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8">
    <w:name w:val="footnote text"/>
    <w:basedOn w:val="719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basedOn w:val="720"/>
    <w:uiPriority w:val="99"/>
    <w:unhideWhenUsed/>
    <w:rPr>
      <w:vertAlign w:val="superscript"/>
    </w:rPr>
  </w:style>
  <w:style w:type="paragraph" w:styleId="891">
    <w:name w:val="endnote text"/>
    <w:basedOn w:val="719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basedOn w:val="720"/>
    <w:uiPriority w:val="99"/>
    <w:semiHidden/>
    <w:unhideWhenUsed/>
    <w:rPr>
      <w:vertAlign w:val="superscript"/>
    </w:rPr>
  </w:style>
  <w:style w:type="paragraph" w:styleId="894">
    <w:name w:val="toc 1"/>
    <w:basedOn w:val="719"/>
    <w:next w:val="719"/>
    <w:uiPriority w:val="39"/>
    <w:unhideWhenUsed/>
    <w:pPr>
      <w:spacing w:after="57"/>
    </w:pPr>
  </w:style>
  <w:style w:type="paragraph" w:styleId="895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6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7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8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9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900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901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902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19"/>
    <w:next w:val="719"/>
    <w:uiPriority w:val="99"/>
    <w:unhideWhenUsed/>
    <w:pPr>
      <w:spacing w:after="0"/>
    </w:pPr>
  </w:style>
  <w:style w:type="paragraph" w:styleId="905" w:customStyle="1">
    <w:name w:val="ConsPlusNormal"/>
    <w:link w:val="907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0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07" w:customStyle="1">
    <w:name w:val="ConsPlusNormal Знак"/>
    <w:link w:val="905"/>
    <w:uiPriority w:val="99"/>
    <w:rPr>
      <w:rFonts w:ascii="Calibri" w:hAnsi="Calibri" w:eastAsia="Times New Roman" w:cs="Calibri"/>
      <w:szCs w:val="20"/>
      <w:lang w:eastAsia="ru-RU"/>
    </w:rPr>
  </w:style>
  <w:style w:type="character" w:styleId="908">
    <w:name w:val="Hyperlink"/>
    <w:basedOn w:val="720"/>
    <w:uiPriority w:val="99"/>
    <w:semiHidden/>
    <w:unhideWhenUsed/>
    <w:rPr>
      <w:color w:val="0563c1" w:themeColor="hyperlink"/>
      <w:u w:val="single"/>
    </w:rPr>
  </w:style>
  <w:style w:type="paragraph" w:styleId="909">
    <w:name w:val="List Paragraph"/>
    <w:basedOn w:val="719"/>
    <w:uiPriority w:val="34"/>
    <w:qFormat/>
    <w:pPr>
      <w:contextualSpacing/>
      <w:ind w:left="720"/>
    </w:pPr>
  </w:style>
  <w:style w:type="paragraph" w:styleId="910">
    <w:name w:val="Balloon Text"/>
    <w:basedOn w:val="719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720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Normal (Web)"/>
    <w:basedOn w:val="7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13" w:customStyle="1">
    <w:name w:val="StGen0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Serif" w:hAnsi="LiberationSerif" w:eastAsia="LiberationSerif" w:cs="LiberationSerif"/>
      <w:lang w:eastAsia="ru-RU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paragraph" w:styleId="914" w:customStyle="1">
    <w:name w:val="Обычный1"/>
    <w:qFormat/>
    <w:pPr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39AD-A1FC-4ABD-8997-5D9554AB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Димитрова Виктория Александровна</dc:creator>
  <cp:revision>10</cp:revision>
  <dcterms:created xsi:type="dcterms:W3CDTF">2024-04-25T03:24:00Z</dcterms:created>
  <dcterms:modified xsi:type="dcterms:W3CDTF">2024-06-25T02:40:28Z</dcterms:modified>
</cp:coreProperties>
</file>